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Optek Technology, Inc.</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Common Stock, $.01 par value</w:t>
      </w:r>
    </w:p>
    <w:p>
      <w:pPr>
        <w:spacing w:after="0" w:line="201"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683815104</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following box if a fee is being paid with this statement [ ] .</w:t>
      </w:r>
    </w:p>
    <w:p>
      <w:pPr>
        <w:spacing w:after="0" w:line="6"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7"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379" w:lineRule="exact"/>
        <w:rPr>
          <w:sz w:val="24"/>
          <w:szCs w:val="24"/>
          <w:color w:val="auto"/>
        </w:rPr>
      </w:pPr>
    </w:p>
    <w:p>
      <w:pPr>
        <w:spacing w:after="0"/>
        <w:tabs>
          <w:tab w:leader="none" w:pos="1140" w:val="left"/>
          <w:tab w:leader="none" w:pos="3260" w:val="left"/>
          <w:tab w:leader="none" w:pos="4720" w:val="left"/>
        </w:tabs>
        <w:rPr>
          <w:sz w:val="20"/>
          <w:szCs w:val="20"/>
          <w:color w:val="auto"/>
        </w:rPr>
      </w:pPr>
      <w:r>
        <w:rPr>
          <w:rFonts w:ascii="Courier New" w:cs="Courier New" w:eastAsia="Courier New" w:hAnsi="Courier New"/>
          <w:sz w:val="18"/>
          <w:szCs w:val="18"/>
          <w:color w:val="auto"/>
        </w:rPr>
        <w:t>CUSIP NO.</w:t>
        <w:tab/>
        <w:t>079 895 180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1060" w:hanging="1052"/>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Allstate Corporation</w:t>
      </w:r>
    </w:p>
    <w:p>
      <w:pPr>
        <w:ind w:left="1060"/>
        <w:spacing w:after="0" w:line="238" w:lineRule="auto"/>
        <w:rPr>
          <w:sz w:val="20"/>
          <w:szCs w:val="20"/>
          <w:color w:val="auto"/>
        </w:rPr>
      </w:pPr>
      <w:r>
        <w:rPr>
          <w:rFonts w:ascii="Courier New" w:cs="Courier New" w:eastAsia="Courier New" w:hAnsi="Courier New"/>
          <w:sz w:val="18"/>
          <w:szCs w:val="18"/>
          <w:color w:val="auto"/>
        </w:rPr>
        <w:t>36-3871531</w:t>
      </w:r>
    </w:p>
    <w:p>
      <w:pPr>
        <w:spacing w:after="0" w:line="202" w:lineRule="exact"/>
        <w:rPr>
          <w:sz w:val="24"/>
          <w:szCs w:val="24"/>
          <w:color w:val="auto"/>
        </w:rPr>
      </w:pPr>
    </w:p>
    <w:p>
      <w:pPr>
        <w:ind w:left="1060" w:hanging="1052"/>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4"/>
          <w:szCs w:val="24"/>
          <w:color w:val="auto"/>
        </w:rPr>
      </w:pPr>
    </w:p>
    <w:p>
      <w:pPr>
        <w:ind w:left="1060" w:hanging="1052"/>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ind w:left="1060" w:right="5359" w:hanging="1052"/>
        <w:spacing w:after="0" w:line="470"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9" w:lineRule="exact"/>
        <w:rPr>
          <w:sz w:val="24"/>
          <w:szCs w:val="24"/>
          <w:color w:val="auto"/>
        </w:rPr>
      </w:pPr>
    </w:p>
    <w:p>
      <w:pPr>
        <w:ind w:left="1060" w:hanging="1052"/>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1,028,230</w:t>
      </w:r>
    </w:p>
    <w:p>
      <w:pPr>
        <w:spacing w:after="0" w:line="207" w:lineRule="exact"/>
        <w:rPr>
          <w:sz w:val="24"/>
          <w:szCs w:val="24"/>
          <w:color w:val="auto"/>
        </w:rPr>
      </w:pPr>
    </w:p>
    <w:p>
      <w:pPr>
        <w:ind w:left="1060" w:right="7159" w:hanging="1052"/>
        <w:spacing w:after="0" w:line="470"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ectPr>
          <w:pgSz w:w="11900" w:h="16838" w:orient="portrait"/>
          <w:cols w:equalWidth="0" w:num="1">
            <w:col w:w="10219"/>
          </w:cols>
          <w:pgMar w:left="240" w:top="244" w:right="1440" w:bottom="0" w:gutter="0" w:footer="0" w:header="0"/>
        </w:sectPr>
      </w:pPr>
    </w:p>
    <w:bookmarkStart w:id="1" w:name="page2"/>
    <w:bookmarkEnd w:id="1"/>
    <w:p>
      <w:pPr>
        <w:ind w:left="1060" w:right="6839" w:hanging="1052"/>
        <w:spacing w:after="0" w:line="470"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1,028,230</w:t>
      </w:r>
    </w:p>
    <w:p>
      <w:pPr>
        <w:spacing w:after="0" w:line="12" w:lineRule="exact"/>
        <w:rPr>
          <w:sz w:val="20"/>
          <w:szCs w:val="20"/>
          <w:color w:val="auto"/>
        </w:rPr>
      </w:pPr>
    </w:p>
    <w:p>
      <w:pPr>
        <w:ind w:left="1060" w:right="6639" w:hanging="1052"/>
        <w:spacing w:after="0" w:line="470"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2" w:lineRule="exact"/>
        <w:rPr>
          <w:sz w:val="20"/>
          <w:szCs w:val="20"/>
          <w:color w:val="auto"/>
        </w:rPr>
      </w:pPr>
    </w:p>
    <w:p>
      <w:pPr>
        <w:ind w:left="1060" w:right="2839" w:hanging="1052"/>
        <w:spacing w:after="0" w:line="470"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1,028,230</w:t>
      </w:r>
    </w:p>
    <w:p>
      <w:pPr>
        <w:spacing w:after="0" w:line="12" w:lineRule="exact"/>
        <w:rPr>
          <w:sz w:val="20"/>
          <w:szCs w:val="20"/>
          <w:color w:val="auto"/>
        </w:rPr>
      </w:pPr>
    </w:p>
    <w:p>
      <w:pPr>
        <w:ind w:left="1060" w:right="3159" w:hanging="1052"/>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2"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6" w:lineRule="exact"/>
        <w:rPr>
          <w:rFonts w:ascii="Courier New" w:cs="Courier New" w:eastAsia="Courier New" w:hAnsi="Courier New"/>
          <w:sz w:val="18"/>
          <w:szCs w:val="18"/>
          <w:color w:val="auto"/>
        </w:rPr>
      </w:pPr>
    </w:p>
    <w:p>
      <w:pPr>
        <w:ind w:left="1060" w:right="4199" w:hanging="1052"/>
        <w:spacing w:after="0" w:line="470"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31%</w:t>
      </w:r>
    </w:p>
    <w:p>
      <w:pPr>
        <w:spacing w:after="0" w:line="6"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1260" w:val="left"/>
          <w:tab w:leader="none" w:pos="230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Optek Technology, Inc.</w:t>
      </w:r>
    </w:p>
    <w:p>
      <w:pPr>
        <w:spacing w:after="0" w:line="201" w:lineRule="exact"/>
        <w:rPr>
          <w:sz w:val="20"/>
          <w:szCs w:val="20"/>
          <w:color w:val="auto"/>
        </w:rPr>
      </w:pPr>
    </w:p>
    <w:p>
      <w:pPr>
        <w:ind w:left="2320" w:hanging="1048"/>
        <w:spacing w:after="0"/>
        <w:tabs>
          <w:tab w:leader="none" w:pos="2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1215 Crosby Road</w:t>
      </w:r>
    </w:p>
    <w:p>
      <w:pPr>
        <w:ind w:left="2320"/>
        <w:spacing w:after="0" w:line="238" w:lineRule="auto"/>
        <w:rPr>
          <w:sz w:val="20"/>
          <w:szCs w:val="20"/>
          <w:color w:val="auto"/>
        </w:rPr>
      </w:pPr>
      <w:r>
        <w:rPr>
          <w:rFonts w:ascii="Courier New" w:cs="Courier New" w:eastAsia="Courier New" w:hAnsi="Courier New"/>
          <w:sz w:val="18"/>
          <w:szCs w:val="18"/>
          <w:color w:val="auto"/>
        </w:rPr>
        <w:t>Carrollton, TX 75006</w:t>
      </w:r>
    </w:p>
    <w:p>
      <w:pPr>
        <w:spacing w:after="0" w:line="202" w:lineRule="exact"/>
        <w:rPr>
          <w:sz w:val="20"/>
          <w:szCs w:val="20"/>
          <w:color w:val="auto"/>
        </w:rPr>
      </w:pPr>
    </w:p>
    <w:p>
      <w:pPr>
        <w:spacing w:after="0"/>
        <w:tabs>
          <w:tab w:leader="none" w:pos="1260" w:val="left"/>
          <w:tab w:leader="none" w:pos="230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Allstate Corporation</w:t>
      </w:r>
    </w:p>
    <w:p>
      <w:pPr>
        <w:spacing w:after="0" w:line="201" w:lineRule="exact"/>
        <w:rPr>
          <w:sz w:val="20"/>
          <w:szCs w:val="20"/>
          <w:color w:val="auto"/>
        </w:rPr>
      </w:pPr>
    </w:p>
    <w:p>
      <w:pPr>
        <w:ind w:left="2320" w:hanging="1048"/>
        <w:spacing w:after="0"/>
        <w:tabs>
          <w:tab w:leader="none" w:pos="2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Offices:</w:t>
      </w:r>
    </w:p>
    <w:p>
      <w:pPr>
        <w:spacing w:after="0" w:line="201" w:lineRule="exact"/>
        <w:rPr>
          <w:rFonts w:ascii="Courier New" w:cs="Courier New" w:eastAsia="Courier New" w:hAnsi="Courier New"/>
          <w:sz w:val="18"/>
          <w:szCs w:val="18"/>
          <w:color w:val="auto"/>
        </w:rPr>
      </w:pPr>
    </w:p>
    <w:p>
      <w:pPr>
        <w:ind w:left="2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2775 Sanders Road</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Northbrook, Illinois 60062-6127</w:t>
      </w:r>
    </w:p>
    <w:p>
      <w:pPr>
        <w:spacing w:after="0" w:line="207" w:lineRule="exact"/>
        <w:rPr>
          <w:rFonts w:ascii="Courier New" w:cs="Courier New" w:eastAsia="Courier New" w:hAnsi="Courier New"/>
          <w:sz w:val="18"/>
          <w:szCs w:val="18"/>
          <w:color w:val="auto"/>
        </w:rPr>
      </w:pPr>
    </w:p>
    <w:p>
      <w:pPr>
        <w:ind w:left="2320" w:right="6639" w:hanging="1048"/>
        <w:spacing w:after="0" w:line="536" w:lineRule="auto"/>
        <w:tabs>
          <w:tab w:leader="none" w:pos="23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Delaware</w:t>
      </w:r>
    </w:p>
    <w:p>
      <w:pPr>
        <w:ind w:left="2320" w:right="4839" w:hanging="1048"/>
        <w:spacing w:after="0" w:line="536" w:lineRule="auto"/>
        <w:tabs>
          <w:tab w:leader="none" w:pos="23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Shares of Common Stock</w:t>
      </w:r>
    </w:p>
    <w:p>
      <w:pPr>
        <w:ind w:left="2320" w:hanging="1048"/>
        <w:spacing w:after="0"/>
        <w:tabs>
          <w:tab w:leader="none" w:pos="2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683815104</w:t>
      </w:r>
    </w:p>
    <w:p>
      <w:pPr>
        <w:spacing w:after="0" w:line="207" w:lineRule="exact"/>
        <w:rPr>
          <w:sz w:val="20"/>
          <w:szCs w:val="20"/>
          <w:color w:val="auto"/>
        </w:rPr>
      </w:pPr>
    </w:p>
    <w:p>
      <w:pPr>
        <w:ind w:left="1280" w:right="325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13d-2(b), check whether the person filing is a:</w:t>
      </w:r>
    </w:p>
    <w:p>
      <w:pPr>
        <w:spacing w:after="0" w:line="170" w:lineRule="exact"/>
        <w:rPr>
          <w:sz w:val="20"/>
          <w:szCs w:val="20"/>
          <w:color w:val="auto"/>
        </w:rPr>
      </w:pPr>
    </w:p>
    <w:p>
      <w:pPr>
        <w:ind w:left="3380" w:right="2199" w:hanging="2108"/>
        <w:spacing w:after="0" w:line="235" w:lineRule="auto"/>
        <w:tabs>
          <w:tab w:leader="none" w:pos="232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spacing w:after="0" w:line="202" w:lineRule="exact"/>
        <w:rPr>
          <w:rFonts w:ascii="Courier New" w:cs="Courier New" w:eastAsia="Courier New" w:hAnsi="Courier New"/>
          <w:sz w:val="18"/>
          <w:szCs w:val="18"/>
          <w:color w:val="auto"/>
        </w:rPr>
      </w:pPr>
    </w:p>
    <w:p>
      <w:pPr>
        <w:ind w:left="2320" w:hanging="1048"/>
        <w:spacing w:after="0"/>
        <w:tabs>
          <w:tab w:leader="none" w:pos="2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w:t>
      </w:r>
    </w:p>
    <w:p>
      <w:pPr>
        <w:spacing w:after="0" w:line="201" w:lineRule="exact"/>
        <w:rPr>
          <w:rFonts w:ascii="Courier New" w:cs="Courier New" w:eastAsia="Courier New" w:hAnsi="Courier New"/>
          <w:sz w:val="18"/>
          <w:szCs w:val="18"/>
          <w:color w:val="auto"/>
        </w:rPr>
      </w:pPr>
    </w:p>
    <w:p>
      <w:pPr>
        <w:ind w:left="2320" w:hanging="1048"/>
        <w:spacing w:after="0"/>
        <w:tabs>
          <w:tab w:leader="none" w:pos="2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Insurance Company as defined in section</w:t>
      </w:r>
    </w:p>
    <w:p>
      <w:pPr>
        <w:ind w:left="3380"/>
        <w:spacing w:after="0" w:line="238" w:lineRule="auto"/>
        <w:rPr>
          <w:sz w:val="20"/>
          <w:szCs w:val="20"/>
          <w:color w:val="auto"/>
        </w:rPr>
      </w:pPr>
      <w:r>
        <w:rPr>
          <w:rFonts w:ascii="Courier New" w:cs="Courier New" w:eastAsia="Courier New" w:hAnsi="Courier New"/>
          <w:sz w:val="18"/>
          <w:szCs w:val="18"/>
          <w:color w:val="auto"/>
        </w:rPr>
        <w:t>3(a)(19) of the Act</w:t>
      </w:r>
    </w:p>
    <w:p>
      <w:pPr>
        <w:spacing w:after="0" w:line="207" w:lineRule="exact"/>
        <w:rPr>
          <w:sz w:val="20"/>
          <w:szCs w:val="20"/>
          <w:color w:val="auto"/>
        </w:rPr>
      </w:pPr>
    </w:p>
    <w:p>
      <w:pPr>
        <w:ind w:left="3380" w:right="2099" w:hanging="2108"/>
        <w:spacing w:after="0" w:line="235" w:lineRule="auto"/>
        <w:tabs>
          <w:tab w:leader="none" w:pos="23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3380" w:right="2319" w:hanging="2108"/>
        <w:spacing w:after="0" w:line="290" w:lineRule="auto"/>
        <w:tabs>
          <w:tab w:leader="none" w:pos="23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Investment Adviser registered under section 203 of the Investment Advisers Act of 1940</w:t>
      </w:r>
    </w:p>
    <w:p>
      <w:pPr>
        <w:spacing w:after="0" w:line="169" w:lineRule="exact"/>
        <w:rPr>
          <w:rFonts w:ascii="Courier New" w:cs="Courier New" w:eastAsia="Courier New" w:hAnsi="Courier New"/>
          <w:sz w:val="18"/>
          <w:szCs w:val="18"/>
          <w:color w:val="auto"/>
        </w:rPr>
      </w:pPr>
    </w:p>
    <w:p>
      <w:pPr>
        <w:ind w:left="3380" w:right="2199" w:hanging="2108"/>
        <w:spacing w:after="0" w:line="237" w:lineRule="auto"/>
        <w:tabs>
          <w:tab w:leader="none" w:pos="23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Pension Fund which is subject to the provisions of the Employee Retirement Income Security Act of 1974 or Endowment Fund; see subparagraph 240.13d -1(b)(1)(ii)(F)</w:t>
      </w:r>
    </w:p>
    <w:p>
      <w:pPr>
        <w:spacing w:after="0" w:line="208" w:lineRule="exact"/>
        <w:rPr>
          <w:rFonts w:ascii="Courier New" w:cs="Courier New" w:eastAsia="Courier New" w:hAnsi="Courier New"/>
          <w:sz w:val="18"/>
          <w:szCs w:val="18"/>
          <w:color w:val="auto"/>
        </w:rPr>
      </w:pPr>
    </w:p>
    <w:p>
      <w:pPr>
        <w:ind w:left="3380" w:right="2099" w:hanging="2108"/>
        <w:spacing w:after="0" w:line="236" w:lineRule="auto"/>
        <w:tabs>
          <w:tab w:leader="none" w:pos="23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(XX)Parent Holding Company, in accordance with sub-paragraph 240.13d-1(b)(ii)(G) (Note: See Item 7)</w:t>
      </w:r>
    </w:p>
    <w:p>
      <w:pPr>
        <w:spacing w:after="0" w:line="203" w:lineRule="exact"/>
        <w:rPr>
          <w:rFonts w:ascii="Courier New" w:cs="Courier New" w:eastAsia="Courier New" w:hAnsi="Courier New"/>
          <w:sz w:val="18"/>
          <w:szCs w:val="18"/>
          <w:color w:val="auto"/>
        </w:rPr>
      </w:pPr>
    </w:p>
    <w:p>
      <w:pPr>
        <w:ind w:left="2320" w:hanging="1048"/>
        <w:spacing w:after="0"/>
        <w:tabs>
          <w:tab w:leader="none" w:pos="2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Group, in accordance with subparagraph</w:t>
      </w:r>
    </w:p>
    <w:p>
      <w:pPr>
        <w:ind w:left="3380"/>
        <w:spacing w:after="0" w:line="238" w:lineRule="auto"/>
        <w:rPr>
          <w:sz w:val="20"/>
          <w:szCs w:val="20"/>
          <w:color w:val="auto"/>
        </w:rPr>
      </w:pPr>
      <w:r>
        <w:rPr>
          <w:rFonts w:ascii="Courier New" w:cs="Courier New" w:eastAsia="Courier New" w:hAnsi="Courier New"/>
          <w:sz w:val="18"/>
          <w:szCs w:val="18"/>
          <w:color w:val="auto"/>
        </w:rPr>
        <w:t>240.13d-1(b)(1)(ii)(H)</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159" w:firstLine="1264"/>
        <w:spacing w:after="0" w:line="237" w:lineRule="auto"/>
        <w:rPr>
          <w:sz w:val="20"/>
          <w:szCs w:val="20"/>
          <w:color w:val="auto"/>
        </w:rPr>
      </w:pPr>
      <w:r>
        <w:rPr>
          <w:rFonts w:ascii="Courier New" w:cs="Courier New" w:eastAsia="Courier New" w:hAnsi="Courier New"/>
          <w:sz w:val="18"/>
          <w:szCs w:val="18"/>
          <w:color w:val="auto"/>
        </w:rPr>
        <w:t>If the percent of the class owned, as of December 31 of the year covered by the statement, or as of the last day of any month described in Rule 13d-1(b)(2), if applicable, exceeds five percent, provide the following information as of that date and identify those shares which there is a right to acquire.</w:t>
      </w:r>
    </w:p>
    <w:p>
      <w:pPr>
        <w:spacing w:after="0" w:line="209" w:lineRule="exact"/>
        <w:rPr>
          <w:sz w:val="20"/>
          <w:szCs w:val="20"/>
          <w:color w:val="auto"/>
        </w:rPr>
      </w:pPr>
    </w:p>
    <w:p>
      <w:pPr>
        <w:ind w:left="3380" w:right="5159" w:hanging="2108"/>
        <w:spacing w:after="0" w:line="290" w:lineRule="auto"/>
        <w:tabs>
          <w:tab w:leader="none" w:pos="232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1,028,230</w:t>
      </w:r>
    </w:p>
    <w:p>
      <w:pPr>
        <w:spacing w:after="0" w:line="164" w:lineRule="exact"/>
        <w:rPr>
          <w:rFonts w:ascii="Courier New" w:cs="Courier New" w:eastAsia="Courier New" w:hAnsi="Courier New"/>
          <w:sz w:val="16"/>
          <w:szCs w:val="16"/>
          <w:color w:val="auto"/>
        </w:rPr>
      </w:pPr>
    </w:p>
    <w:p>
      <w:pPr>
        <w:ind w:left="2320" w:hanging="1048"/>
        <w:spacing w:after="0"/>
        <w:tabs>
          <w:tab w:leader="none" w:pos="23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3380"/>
        <w:spacing w:after="0" w:line="238" w:lineRule="auto"/>
        <w:rPr>
          <w:sz w:val="20"/>
          <w:szCs w:val="20"/>
          <w:color w:val="auto"/>
        </w:rPr>
      </w:pPr>
      <w:r>
        <w:rPr>
          <w:rFonts w:ascii="Courier New" w:cs="Courier New" w:eastAsia="Courier New" w:hAnsi="Courier New"/>
          <w:sz w:val="18"/>
          <w:szCs w:val="18"/>
          <w:color w:val="auto"/>
        </w:rPr>
        <w:t>31%</w:t>
      </w:r>
    </w:p>
    <w:p>
      <w:pPr>
        <w:spacing w:after="0" w:line="202" w:lineRule="exact"/>
        <w:rPr>
          <w:sz w:val="20"/>
          <w:szCs w:val="20"/>
          <w:color w:val="auto"/>
        </w:rPr>
      </w:pPr>
    </w:p>
    <w:p>
      <w:pPr>
        <w:ind w:left="2320" w:hanging="1048"/>
        <w:spacing w:after="0"/>
        <w:tabs>
          <w:tab w:leader="none" w:pos="2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(1) has:</w:t>
      </w:r>
    </w:p>
    <w:p>
      <w:pPr>
        <w:spacing w:after="0" w:line="206" w:lineRule="exact"/>
        <w:rPr>
          <w:rFonts w:ascii="Courier New" w:cs="Courier New" w:eastAsia="Courier New" w:hAnsi="Courier New"/>
          <w:sz w:val="18"/>
          <w:szCs w:val="18"/>
          <w:color w:val="auto"/>
        </w:rPr>
      </w:pPr>
    </w:p>
    <w:p>
      <w:pPr>
        <w:ind w:left="4440" w:right="2619" w:hanging="2114"/>
        <w:spacing w:after="0" w:line="235" w:lineRule="auto"/>
        <w:tabs>
          <w:tab w:leader="none" w:pos="3387"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1,028,230</w:t>
      </w:r>
    </w:p>
    <w:p>
      <w:pPr>
        <w:spacing w:after="0" w:line="208" w:lineRule="exact"/>
        <w:rPr>
          <w:rFonts w:ascii="Courier New" w:cs="Courier New" w:eastAsia="Courier New" w:hAnsi="Courier New"/>
          <w:sz w:val="18"/>
          <w:szCs w:val="18"/>
          <w:color w:val="auto"/>
        </w:rPr>
      </w:pPr>
    </w:p>
    <w:p>
      <w:pPr>
        <w:ind w:left="4440" w:right="2419" w:hanging="2114"/>
        <w:spacing w:after="0" w:line="235" w:lineRule="auto"/>
        <w:tabs>
          <w:tab w:leader="none" w:pos="3387"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8" w:lineRule="exact"/>
        <w:rPr>
          <w:rFonts w:ascii="Courier New" w:cs="Courier New" w:eastAsia="Courier New" w:hAnsi="Courier New"/>
          <w:sz w:val="18"/>
          <w:szCs w:val="18"/>
          <w:color w:val="auto"/>
        </w:rPr>
      </w:pPr>
    </w:p>
    <w:p>
      <w:pPr>
        <w:ind w:left="3380" w:right="2839" w:hanging="1160"/>
        <w:spacing w:after="0" w:line="235" w:lineRule="auto"/>
        <w:tabs>
          <w:tab w:leader="none" w:pos="33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4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1,028,230</w:t>
      </w:r>
    </w:p>
    <w:p>
      <w:pPr>
        <w:spacing w:after="0" w:line="207" w:lineRule="exact"/>
        <w:rPr>
          <w:rFonts w:ascii="Courier New" w:cs="Courier New" w:eastAsia="Courier New" w:hAnsi="Courier New"/>
          <w:sz w:val="18"/>
          <w:szCs w:val="18"/>
          <w:color w:val="auto"/>
        </w:rPr>
      </w:pPr>
    </w:p>
    <w:p>
      <w:pPr>
        <w:ind w:left="3380" w:right="2619" w:hanging="1054"/>
        <w:spacing w:after="0" w:line="235" w:lineRule="auto"/>
        <w:tabs>
          <w:tab w:leader="none" w:pos="33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1" w:lineRule="exact"/>
        <w:rPr>
          <w:rFonts w:ascii="Courier New" w:cs="Courier New" w:eastAsia="Courier New" w:hAnsi="Courier New"/>
          <w:sz w:val="18"/>
          <w:szCs w:val="18"/>
          <w:color w:val="auto"/>
        </w:rPr>
      </w:pPr>
    </w:p>
    <w:p>
      <w:pPr>
        <w:ind w:left="4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If</w:t>
            </w:r>
          </w:p>
        </w:tc>
        <w:tc>
          <w:tcPr>
            <w:tcW w:w="25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this statement is being</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filed to</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report the</w:t>
            </w:r>
          </w:p>
        </w:tc>
        <w:tc>
          <w:tcPr>
            <w:tcW w:w="560" w:type="dxa"/>
            <w:vAlign w:val="bottom"/>
          </w:tcPr>
          <w:p>
            <w:pPr>
              <w:ind w:left="40"/>
              <w:spacing w:after="0"/>
              <w:rPr>
                <w:sz w:val="20"/>
                <w:szCs w:val="20"/>
                <w:color w:val="auto"/>
              </w:rPr>
            </w:pPr>
            <w:r>
              <w:rPr>
                <w:rFonts w:ascii="Courier New" w:cs="Courier New" w:eastAsia="Courier New" w:hAnsi="Courier New"/>
                <w:sz w:val="18"/>
                <w:szCs w:val="18"/>
                <w:color w:val="auto"/>
              </w:rPr>
              <w:t>fact</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that as of the</w:t>
            </w:r>
          </w:p>
        </w:tc>
        <w:tc>
          <w:tcPr>
            <w:tcW w:w="34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date hereof the reporting person</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has ceased</w:t>
            </w:r>
          </w:p>
        </w:tc>
        <w:tc>
          <w:tcPr>
            <w:tcW w:w="5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to be</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the beneficial</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owner of more than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five</w:t>
            </w:r>
          </w:p>
        </w:tc>
        <w:tc>
          <w:tcPr>
            <w:tcW w:w="26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percent of the class of</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securities, check the following (</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r>
    </w:tbl>
    <w:p>
      <w:pPr>
        <w:spacing w:after="0" w:line="207" w:lineRule="exact"/>
        <w:rPr>
          <w:sz w:val="20"/>
          <w:szCs w:val="20"/>
          <w:color w:val="auto"/>
        </w:rPr>
      </w:pPr>
    </w:p>
    <w:p>
      <w:pPr>
        <w:ind w:left="1280" w:right="389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ind w:left="316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right="3359" w:firstLine="8"/>
        <w:spacing w:after="0" w:line="236"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Allstate Insurance Company, a wholly owned subsidiary of The Allstate Corporation, beneficially owns 1,028,230 Shares of Common Stock.</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717" w:right="1440" w:bottom="1440" w:gutter="0" w:footer="0" w:header="0"/>
        </w:sectPr>
      </w:pPr>
    </w:p>
    <w:bookmarkStart w:id="4" w:name="page5"/>
    <w:bookmarkEnd w:id="4"/>
    <w:p>
      <w:pPr>
        <w:jc w:val="both"/>
        <w:ind w:left="1280" w:right="347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Allstate Insurance Company is an insurance company as</w:t>
      </w:r>
    </w:p>
    <w:p>
      <w:pPr>
        <w:spacing w:after="0" w:line="4" w:lineRule="exact"/>
        <w:rPr>
          <w:sz w:val="20"/>
          <w:szCs w:val="20"/>
          <w:color w:val="auto"/>
        </w:rPr>
      </w:pPr>
    </w:p>
    <w:p>
      <w:pPr>
        <w:ind w:left="1280" w:right="2839"/>
        <w:spacing w:after="0" w:line="235" w:lineRule="auto"/>
        <w:rPr>
          <w:sz w:val="20"/>
          <w:szCs w:val="20"/>
          <w:color w:val="auto"/>
        </w:rPr>
      </w:pPr>
      <w:r>
        <w:rPr>
          <w:rFonts w:ascii="Courier New" w:cs="Courier New" w:eastAsia="Courier New" w:hAnsi="Courier New"/>
          <w:sz w:val="18"/>
          <w:szCs w:val="18"/>
          <w:color w:val="auto"/>
        </w:rPr>
        <w:t>that term is defined in Section 3(a)(19) of the Securities Exchange Act of 1934.</w:t>
      </w:r>
    </w:p>
    <w:p>
      <w:pPr>
        <w:spacing w:after="0" w:line="208" w:lineRule="exact"/>
        <w:rPr>
          <w:sz w:val="20"/>
          <w:szCs w:val="20"/>
          <w:color w:val="auto"/>
        </w:rPr>
      </w:pPr>
    </w:p>
    <w:p>
      <w:pPr>
        <w:ind w:left="1280" w:right="357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67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8, 1996</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ALLSTATE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ALLSTATE INSURANCE COMPANY</w:t>
      </w:r>
    </w:p>
    <w:p>
      <w:pPr>
        <w:sectPr>
          <w:pgSz w:w="11900" w:h="16838" w:orient="portrait"/>
          <w:cols w:equalWidth="0" w:num="1">
            <w:col w:w="10219"/>
          </w:cols>
          <w:pgMar w:left="240" w:top="723" w:right="1440" w:bottom="1440" w:gutter="0" w:footer="0" w:header="0"/>
        </w:sectPr>
      </w:pP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Mary J. McGinn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Authorized Signatory</w:t>
      </w:r>
    </w:p>
    <w:sectPr>
      <w:pgSz w:w="11900" w:h="16838" w:orient="portrait"/>
      <w:cols w:equalWidth="0" w:num="2">
        <w:col w:w="3380" w:space="100"/>
        <w:col w:w="673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bullet"/>
      <w:start w:val="1"/>
    </w:lvl>
  </w:abstractNum>
  <w:abstractNum w:abstractNumId="1">
    <w:nsid w:val="12200854"/>
    <w:multiLevelType w:val="hybridMultilevel"/>
    <w:lvl w:ilvl="0">
      <w:lvlJc w:val="left"/>
      <w:lvlText w:val="2"/>
      <w:numFmt w:val="bullet"/>
      <w:start w:val="1"/>
    </w:lvl>
  </w:abstractNum>
  <w:abstractNum w:abstractNumId="2">
    <w:nsid w:val="4DB127F8"/>
    <w:multiLevelType w:val="hybridMultilevel"/>
    <w:lvl w:ilvl="0">
      <w:lvlJc w:val="left"/>
      <w:lvlText w:val="3"/>
      <w:numFmt w:val="bullet"/>
      <w:start w:val="1"/>
    </w:lvl>
  </w:abstractNum>
  <w:abstractNum w:abstractNumId="3">
    <w:nsid w:val="216231B"/>
    <w:multiLevelType w:val="hybridMultilevel"/>
    <w:lvl w:ilvl="0">
      <w:lvlJc w:val="left"/>
      <w:lvlText w:val="4"/>
      <w:numFmt w:val="bullet"/>
      <w:start w:val="1"/>
    </w:lvl>
  </w:abstractNum>
  <w:abstractNum w:abstractNumId="4">
    <w:nsid w:val="1F16E9E8"/>
    <w:multiLevelType w:val="hybridMultilevel"/>
    <w:lvl w:ilvl="0">
      <w:lvlJc w:val="left"/>
      <w:lvlText w:val="5"/>
      <w:numFmt w:val="bullet"/>
      <w:start w:val="1"/>
    </w:lvl>
  </w:abstractNum>
  <w:abstractNum w:abstractNumId="5">
    <w:nsid w:val="1190CDE7"/>
    <w:multiLevelType w:val="hybridMultilevel"/>
    <w:lvl w:ilvl="0">
      <w:lvlJc w:val="left"/>
      <w:lvlText w:val="6"/>
      <w:numFmt w:val="bullet"/>
      <w:start w:val="1"/>
    </w:lvl>
  </w:abstractNum>
  <w:abstractNum w:abstractNumId="6">
    <w:nsid w:val="66EF438D"/>
    <w:multiLevelType w:val="hybridMultilevel"/>
    <w:lvl w:ilvl="0">
      <w:lvlJc w:val="left"/>
      <w:lvlText w:val="7"/>
      <w:numFmt w:val="bullet"/>
      <w:start w:val="1"/>
    </w:lvl>
  </w:abstractNum>
  <w:abstractNum w:abstractNumId="7">
    <w:nsid w:val="140E0F76"/>
    <w:multiLevelType w:val="hybridMultilevel"/>
    <w:lvl w:ilvl="0">
      <w:lvlJc w:val="left"/>
      <w:lvlText w:val="8"/>
      <w:numFmt w:val="bullet"/>
      <w:start w:val="1"/>
    </w:lvl>
  </w:abstractNum>
  <w:abstractNum w:abstractNumId="8">
    <w:nsid w:val="3352255A"/>
    <w:multiLevelType w:val="hybridMultilevel"/>
    <w:lvl w:ilvl="0">
      <w:lvlJc w:val="left"/>
      <w:lvlText w:val="9"/>
      <w:numFmt w:val="bullet"/>
      <w:start w:val="1"/>
    </w:lvl>
  </w:abstractNum>
  <w:abstractNum w:abstractNumId="9">
    <w:nsid w:val="109CF92E"/>
    <w:multiLevelType w:val="hybridMultilevel"/>
    <w:lvl w:ilvl="0">
      <w:lvlJc w:val="left"/>
      <w:lvlText w:val="%1"/>
      <w:numFmt w:val="decimal"/>
      <w:start w:val="10"/>
    </w:lvl>
  </w:abstractNum>
  <w:abstractNum w:abstractNumId="10">
    <w:nsid w:val="DED7263"/>
    <w:multiLevelType w:val="hybridMultilevel"/>
    <w:lvl w:ilvl="0">
      <w:lvlJc w:val="left"/>
      <w:lvlText w:val="(%1)"/>
      <w:numFmt w:val="lowerLetter"/>
      <w:start w:val="2"/>
    </w:lvl>
  </w:abstractNum>
  <w:abstractNum w:abstractNumId="11">
    <w:nsid w:val="7FDCC233"/>
    <w:multiLevelType w:val="hybridMultilevel"/>
    <w:lvl w:ilvl="0">
      <w:lvlJc w:val="left"/>
      <w:lvlText w:val="(%1)"/>
      <w:numFmt w:val="lowerLetter"/>
      <w:start w:val="2"/>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4"/>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2019-12-16T03:49:08Z</dcterms:created>
  <dcterms:modified xsi:type="dcterms:W3CDTF">2019-12-16T03:49:08Z</dcterms:modified>
</cp:coreProperties>
</file>