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383"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8-K</w:t>
      </w:r>
    </w:p>
    <w:p>
      <w:pPr>
        <w:spacing w:after="0" w:line="383"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CURRENT REPORT</w:t>
      </w:r>
    </w:p>
    <w:p>
      <w:pPr>
        <w:spacing w:after="0" w:line="383"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383"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Date of report (Date of earliest event reported): December 12, 2002</w:t>
      </w:r>
    </w:p>
    <w:p>
      <w:pPr>
        <w:spacing w:after="0" w:line="3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ALLSTATE CORPORATION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195"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700" w:type="dxa"/>
            <w:vAlign w:val="bottom"/>
          </w:tcPr>
          <w:p>
            <w:pPr>
              <w:ind w:left="300"/>
              <w:spacing w:after="0"/>
              <w:rPr>
                <w:sz w:val="20"/>
                <w:szCs w:val="20"/>
                <w:color w:val="auto"/>
              </w:rPr>
            </w:pPr>
            <w:r>
              <w:rPr>
                <w:rFonts w:ascii="Courier New" w:cs="Courier New" w:eastAsia="Courier New" w:hAnsi="Courier New"/>
                <w:sz w:val="16"/>
                <w:szCs w:val="16"/>
                <w:color w:val="auto"/>
              </w:rPr>
              <w:t>Delaware</w:t>
            </w:r>
          </w:p>
        </w:tc>
        <w:tc>
          <w:tcPr>
            <w:tcW w:w="31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1-11840</w:t>
            </w:r>
          </w:p>
        </w:tc>
        <w:tc>
          <w:tcPr>
            <w:tcW w:w="27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36-3871531</w:t>
            </w:r>
          </w:p>
        </w:tc>
      </w:tr>
      <w:tr>
        <w:trPr>
          <w:trHeight w:val="188"/>
        </w:trPr>
        <w:tc>
          <w:tcPr>
            <w:tcW w:w="17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3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17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(State or other</w:t>
            </w:r>
          </w:p>
        </w:tc>
        <w:tc>
          <w:tcPr>
            <w:tcW w:w="3140" w:type="dxa"/>
            <w:vAlign w:val="bottom"/>
          </w:tcPr>
          <w:p>
            <w:pPr>
              <w:ind w:left="1420"/>
              <w:spacing w:after="0"/>
              <w:rPr>
                <w:sz w:val="20"/>
                <w:szCs w:val="20"/>
                <w:color w:val="auto"/>
              </w:rPr>
            </w:pPr>
            <w:r>
              <w:rPr>
                <w:rFonts w:ascii="Courier New" w:cs="Courier New" w:eastAsia="Courier New" w:hAnsi="Courier New"/>
                <w:sz w:val="16"/>
                <w:szCs w:val="16"/>
                <w:color w:val="auto"/>
              </w:rPr>
              <w:t>(Commission</w:t>
            </w:r>
          </w:p>
        </w:tc>
        <w:tc>
          <w:tcPr>
            <w:tcW w:w="27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17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jurisdiction of</w:t>
            </w:r>
          </w:p>
        </w:tc>
        <w:tc>
          <w:tcPr>
            <w:tcW w:w="3140" w:type="dxa"/>
            <w:vAlign w:val="bottom"/>
          </w:tcPr>
          <w:p>
            <w:pPr>
              <w:ind w:left="1420"/>
              <w:spacing w:after="0"/>
              <w:rPr>
                <w:sz w:val="20"/>
                <w:szCs w:val="20"/>
                <w:color w:val="auto"/>
              </w:rPr>
            </w:pPr>
            <w:r>
              <w:rPr>
                <w:rFonts w:ascii="Courier New" w:cs="Courier New" w:eastAsia="Courier New" w:hAnsi="Courier New"/>
                <w:sz w:val="16"/>
                <w:szCs w:val="16"/>
                <w:color w:val="auto"/>
              </w:rPr>
              <w:t>File Number)</w:t>
            </w:r>
          </w:p>
        </w:tc>
        <w:tc>
          <w:tcPr>
            <w:tcW w:w="2780" w:type="dxa"/>
            <w:vAlign w:val="bottom"/>
          </w:tcPr>
          <w:p>
            <w:pPr>
              <w:jc w:val="right"/>
              <w:spacing w:after="0"/>
              <w:rPr>
                <w:sz w:val="20"/>
                <w:szCs w:val="20"/>
                <w:color w:val="auto"/>
              </w:rPr>
            </w:pPr>
            <w:r>
              <w:rPr>
                <w:rFonts w:ascii="Courier New" w:cs="Courier New" w:eastAsia="Courier New" w:hAnsi="Courier New"/>
                <w:sz w:val="16"/>
                <w:szCs w:val="16"/>
                <w:color w:val="auto"/>
              </w:rPr>
              <w:t>Identification No.)</w:t>
            </w:r>
          </w:p>
        </w:tc>
      </w:tr>
      <w:tr>
        <w:trPr>
          <w:trHeight w:val="188"/>
        </w:trPr>
        <w:tc>
          <w:tcPr>
            <w:tcW w:w="17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organization)</w:t>
            </w:r>
          </w:p>
        </w:tc>
        <w:tc>
          <w:tcPr>
            <w:tcW w:w="314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564"/>
        </w:trPr>
        <w:tc>
          <w:tcPr>
            <w:tcW w:w="1700" w:type="dxa"/>
            <w:vAlign w:val="bottom"/>
          </w:tcPr>
          <w:p>
            <w:pPr>
              <w:spacing w:after="0"/>
              <w:rPr>
                <w:sz w:val="24"/>
                <w:szCs w:val="24"/>
                <w:color w:val="auto"/>
              </w:rPr>
            </w:pPr>
          </w:p>
        </w:tc>
        <w:tc>
          <w:tcPr>
            <w:tcW w:w="3140" w:type="dxa"/>
            <w:vAlign w:val="bottom"/>
          </w:tcPr>
          <w:p>
            <w:pPr>
              <w:ind w:left="360"/>
              <w:spacing w:after="0"/>
              <w:rPr>
                <w:sz w:val="20"/>
                <w:szCs w:val="20"/>
                <w:color w:val="auto"/>
              </w:rPr>
            </w:pPr>
            <w:r>
              <w:rPr>
                <w:rFonts w:ascii="Courier New" w:cs="Courier New" w:eastAsia="Courier New" w:hAnsi="Courier New"/>
                <w:sz w:val="16"/>
                <w:szCs w:val="16"/>
                <w:color w:val="auto"/>
              </w:rPr>
              <w:t>2775 Sanders Road</w:t>
            </w:r>
          </w:p>
        </w:tc>
        <w:tc>
          <w:tcPr>
            <w:tcW w:w="2780" w:type="dxa"/>
            <w:vAlign w:val="bottom"/>
          </w:tcPr>
          <w:p>
            <w:pPr>
              <w:spacing w:after="0"/>
              <w:rPr>
                <w:sz w:val="24"/>
                <w:szCs w:val="24"/>
                <w:color w:val="auto"/>
              </w:rPr>
            </w:pPr>
          </w:p>
        </w:tc>
      </w:tr>
      <w:tr>
        <w:trPr>
          <w:trHeight w:val="188"/>
        </w:trPr>
        <w:tc>
          <w:tcPr>
            <w:tcW w:w="1700" w:type="dxa"/>
            <w:vAlign w:val="bottom"/>
          </w:tcPr>
          <w:p>
            <w:pPr>
              <w:spacing w:after="0"/>
              <w:rPr>
                <w:sz w:val="16"/>
                <w:szCs w:val="16"/>
                <w:color w:val="auto"/>
              </w:rPr>
            </w:pPr>
          </w:p>
        </w:tc>
        <w:tc>
          <w:tcPr>
            <w:tcW w:w="3140" w:type="dxa"/>
            <w:vAlign w:val="bottom"/>
          </w:tcPr>
          <w:p>
            <w:pPr>
              <w:ind w:left="260"/>
              <w:spacing w:after="0"/>
              <w:rPr>
                <w:sz w:val="20"/>
                <w:szCs w:val="20"/>
                <w:color w:val="auto"/>
              </w:rPr>
            </w:pPr>
            <w:r>
              <w:rPr>
                <w:rFonts w:ascii="Courier New" w:cs="Courier New" w:eastAsia="Courier New" w:hAnsi="Courier New"/>
                <w:sz w:val="16"/>
                <w:szCs w:val="16"/>
                <w:color w:val="auto"/>
              </w:rPr>
              <w:t>Northbrook, Illinois</w:t>
            </w:r>
          </w:p>
        </w:tc>
        <w:tc>
          <w:tcPr>
            <w:tcW w:w="278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60062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ind w:left="1080"/>
        <w:spacing w:after="0"/>
        <w:tabs>
          <w:tab w:leader="none" w:pos="546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w:t>
      </w:r>
    </w:p>
    <w:p>
      <w:pPr>
        <w:spacing w:after="0" w:line="383"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Registrant's telephone number, including area code: (847) 402-5000</w:t>
      </w:r>
    </w:p>
    <w:p>
      <w:pPr>
        <w:spacing w:after="0" w:line="38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N/A</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618" w:right="1440" w:bottom="1440" w:gutter="0" w:footer="0" w:header="0"/>
        </w:sectPr>
      </w:pPr>
    </w:p>
    <w:bookmarkStart w:id="1" w:name="page2"/>
    <w:bookmarkEnd w:id="1"/>
    <w:p>
      <w:pPr>
        <w:spacing w:after="0"/>
        <w:tabs>
          <w:tab w:leader="none" w:pos="10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Certain exhibits are filed herewith in connection with the Prospectus Supplement dated December 12, 2002 to the Prospectus dated June 19, 2000, filed as part of the Registration Statement on Form S-3 (Registration No. 333-39640; declared effective on June 30, 2000) filed by The Allstate Corporation (the "Company") with the Securities and Exchange Commission covering Debt Securities issuable under an Indenture relating to Senior Debt Securities, dated as of December 16, 1997, between the Company and State Street Bank &amp; Trust Company as amended by the Third Supplemental Indenture dated as of July 23, 1999 and the Sixth Supplemental Indenture dated as of June 12, 2000.</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12, 2002, the Company executed an Underwriting Agreement (the "Underwriting Agreement") with Banc One Capital Markets, Inc., UBS Warburg LLC and certain other underwriters named therein. Pursuant to the Underwriting Agreement, the Company is issuing $250,000,000 principal amount of 6.125% Senior Notes Due 2032 (the "Securities") under a Ninth Supplemental Indenture, to be dated as of December 17, 2002 (the "Ninth Supplemental Indenture"). The Underwriting Agreement, the form of the Ninth Supplemental Indenture and an opinion of counsel are filed as exhibits hereto. The form of the Securities is included as Exhibit A to the form of the Ninth Supplemental Indenture.</w:t>
      </w:r>
    </w:p>
    <w:p>
      <w:pPr>
        <w:sectPr>
          <w:pgSz w:w="11900" w:h="16838" w:orient="portrait"/>
          <w:cols w:equalWidth="0" w:num="1">
            <w:col w:w="10219"/>
          </w:cols>
          <w:pgMar w:left="240" w:top="1056" w:right="1440" w:bottom="1440" w:gutter="0" w:footer="0" w:header="0"/>
        </w:sectPr>
      </w:pPr>
    </w:p>
    <w:bookmarkStart w:id="2" w:name="page3"/>
    <w:bookmarkEnd w:id="2"/>
    <w:p>
      <w:pPr>
        <w:spacing w:after="0"/>
        <w:tabs>
          <w:tab w:leader="none" w:pos="106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5" w:lineRule="exact"/>
        <w:rPr>
          <w:sz w:val="20"/>
          <w:szCs w:val="20"/>
          <w:color w:val="auto"/>
        </w:rPr>
      </w:pPr>
    </w:p>
    <w:p>
      <w:pPr>
        <w:ind w:left="1960" w:hanging="885"/>
        <w:spacing w:after="0"/>
        <w:tabs>
          <w:tab w:leader="none" w:pos="1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1560" w:right="2499" w:hanging="778"/>
        <w:spacing w:after="0" w:line="250" w:lineRule="auto"/>
        <w:tabs>
          <w:tab w:leader="none" w:pos="15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Agreement, dated as of December 12, 2002, between the Company and Banc One Capital Markets, Inc., UBS Warburg LLC and certain other underwriters.</w:t>
      </w:r>
    </w:p>
    <w:p>
      <w:pPr>
        <w:spacing w:after="0" w:line="185" w:lineRule="exact"/>
        <w:rPr>
          <w:sz w:val="20"/>
          <w:szCs w:val="20"/>
          <w:color w:val="auto"/>
        </w:rPr>
      </w:pPr>
    </w:p>
    <w:p>
      <w:pPr>
        <w:ind w:left="1560" w:right="2399" w:hanging="781"/>
        <w:spacing w:after="0" w:line="252" w:lineRule="auto"/>
        <w:tabs>
          <w:tab w:leader="none" w:pos="15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Form of Ninth Supplemental Indenture between the Company and the Trustee, including the form of the Securities as Exhibit A.</w:t>
      </w:r>
    </w:p>
    <w:p>
      <w:pPr>
        <w:spacing w:after="0" w:line="18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Opinion of LeBoeuf, Lamb, Greene &amp; MacRae, L.L.P.</w:t>
      </w:r>
    </w:p>
    <w:p>
      <w:pPr>
        <w:spacing w:after="0" w:line="19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Computation of Earnings to Fixed Charges Ratio</w:t>
      </w:r>
    </w:p>
    <w:p>
      <w:pPr>
        <w:sectPr>
          <w:pgSz w:w="11900" w:h="16838" w:orient="portrait"/>
          <w:cols w:equalWidth="0" w:num="1">
            <w:col w:w="10219"/>
          </w:cols>
          <w:pgMar w:left="240" w:top="1056" w:right="1440" w:bottom="1440" w:gutter="0" w:footer="0" w:header="0"/>
        </w:sectPr>
      </w:pPr>
    </w:p>
    <w:bookmarkStart w:id="3" w:name="page4"/>
    <w:bookmarkEnd w:id="3"/>
    <w:p>
      <w:pPr>
        <w:jc w:val="center"/>
        <w:ind w:right="2299"/>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THE ALLSTATE CORPORATION</w:t>
      </w:r>
    </w:p>
    <w:p>
      <w:pPr>
        <w:spacing w:after="0" w:line="38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By: /s/ Emma M. Kalaidjian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tabs>
          <w:tab w:leader="none" w:pos="4860" w:val="left"/>
        </w:tabs>
        <w:rPr>
          <w:sz w:val="20"/>
          <w:szCs w:val="20"/>
          <w:color w:val="auto"/>
        </w:rPr>
      </w:pPr>
      <w:r>
        <w:rPr>
          <w:rFonts w:ascii="Courier New" w:cs="Courier New" w:eastAsia="Courier New" w:hAnsi="Courier New"/>
          <w:sz w:val="16"/>
          <w:szCs w:val="16"/>
          <w:color w:val="auto"/>
        </w:rPr>
        <w:t>Name:</w:t>
        <w:tab/>
        <w:t>Emma M. Kalaidjian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 Assistant Secretary</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13, 2002</w:t>
      </w:r>
    </w:p>
    <w:p>
      <w:pPr>
        <w:sectPr>
          <w:pgSz w:w="11900" w:h="16838" w:orient="portrait"/>
          <w:cols w:equalWidth="0" w:num="1">
            <w:col w:w="10219"/>
          </w:cols>
          <w:pgMar w:left="240" w:top="1056" w:right="1440" w:bottom="1440" w:gutter="0" w:footer="0" w:header="0"/>
        </w:sectPr>
      </w:pPr>
    </w:p>
    <w:bookmarkStart w:id="4" w:name="page5"/>
    <w:bookmarkEnd w:id="4"/>
    <w:p>
      <w:pPr>
        <w:ind w:left="3320"/>
        <w:spacing w:after="0"/>
        <w:rPr>
          <w:sz w:val="20"/>
          <w:szCs w:val="20"/>
          <w:color w:val="auto"/>
        </w:rPr>
      </w:pPr>
      <w:r>
        <w:rPr>
          <w:rFonts w:ascii="Courier New" w:cs="Courier New" w:eastAsia="Courier New" w:hAnsi="Courier New"/>
          <w:sz w:val="16"/>
          <w:szCs w:val="16"/>
          <w:color w:val="auto"/>
        </w:rPr>
        <w:t>EXHIBIT INDEX</w:t>
      </w:r>
    </w:p>
    <w:p>
      <w:pPr>
        <w:spacing w:after="0" w:line="19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1560" w:right="2499" w:hanging="778"/>
        <w:spacing w:after="0" w:line="250" w:lineRule="auto"/>
        <w:tabs>
          <w:tab w:leader="none" w:pos="15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Agreement, dated as of December 12, 2002, between the Company and Banc One Capital Markets, Inc., UBS Warburg LLC and certain other underwriters.</w:t>
      </w:r>
    </w:p>
    <w:p>
      <w:pPr>
        <w:spacing w:after="0" w:line="185" w:lineRule="exact"/>
        <w:rPr>
          <w:sz w:val="20"/>
          <w:szCs w:val="20"/>
          <w:color w:val="auto"/>
        </w:rPr>
      </w:pPr>
    </w:p>
    <w:p>
      <w:pPr>
        <w:ind w:left="1560" w:right="2399" w:hanging="781"/>
        <w:spacing w:after="0" w:line="252" w:lineRule="auto"/>
        <w:tabs>
          <w:tab w:leader="none" w:pos="15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Form of Ninth Supplemental Indenture between the Company and the Trustee, including the form of the Securities as Exhibit A.</w:t>
      </w:r>
    </w:p>
    <w:p>
      <w:pPr>
        <w:spacing w:after="0" w:line="18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Opinion of LeBoeuf, Lamb, Greene &amp; MacRae, L.L.P.</w:t>
      </w:r>
    </w:p>
    <w:p>
      <w:pPr>
        <w:spacing w:after="0" w:line="19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Computation of Earnings to Fixed Charges Ratio</w:t>
      </w:r>
    </w:p>
    <w:p>
      <w:pPr>
        <w:sectPr>
          <w:pgSz w:w="11900" w:h="16838" w:orient="portrait"/>
          <w:cols w:equalWidth="0" w:num="1">
            <w:col w:w="10219"/>
          </w:cols>
          <w:pgMar w:left="240" w:top="1056" w:right="1440" w:bottom="1440" w:gutter="0" w:footer="0" w:header="0"/>
        </w:sectPr>
      </w:pPr>
    </w:p>
    <w:bookmarkStart w:id="5" w:name="page6"/>
    <w:bookmarkEnd w:id="5"/>
    <w:p>
      <w:pPr>
        <w:jc w:val="right"/>
        <w:ind w:right="2399"/>
        <w:spacing w:after="0"/>
        <w:rPr>
          <w:sz w:val="20"/>
          <w:szCs w:val="20"/>
          <w:color w:val="auto"/>
        </w:rPr>
      </w:pPr>
      <w:r>
        <w:rPr>
          <w:rFonts w:ascii="Courier New" w:cs="Courier New" w:eastAsia="Courier New" w:hAnsi="Courier New"/>
          <w:sz w:val="16"/>
          <w:szCs w:val="16"/>
          <w:color w:val="auto"/>
        </w:rPr>
        <w:t>EXECUTION COPY</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ALLSTATE CORPORATION</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$250,000,000 6.125% Senior Notes Due 2032</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UNDERWRITING AGREEMENT</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New York, New York</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December 12, 2002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Representatives</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named in Schedule I</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hereto of the Underwriters</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named in Schedule II hereto</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 Banc One Capital Markets, Inc.</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 Bank One Plaza</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Chicago, IL 60670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Allstate Corporation, a Delaware corporation (the "Company"), proposes to issue and sell to the several Underwriters named in Schedule II hereto (the "Underwriters"), for whom you (the "Representatives") are acting as representatives, $250,000,000 principal amount of its 6.125% Senior Notes Due 2032 registered under the Registration Statement referred to in Section 1(a) below (the "Securities"), to be issued pursuant to the provisions of an Indenture, dated as of December 16, 1997, as amended by the Third Supplemental Indenture, dated as of July 23, 1999, and the Sixth Supplemental Indenture, dated as of June 12, 2000, and as supplemented by the Ninth Supplemental Indenture, to be dated as of December 17, 2002 (as so amended and supplemented, the "Indenture"), between the Company and State Street Bank and Trust Company, as Trustee (the "Trustee").</w:t>
      </w:r>
    </w:p>
    <w:p>
      <w:pPr>
        <w:spacing w:after="0" w:line="187" w:lineRule="exact"/>
        <w:rPr>
          <w:sz w:val="20"/>
          <w:szCs w:val="20"/>
          <w:color w:val="auto"/>
        </w:rPr>
      </w:pPr>
    </w:p>
    <w:p>
      <w:pPr>
        <w:ind w:left="1280" w:hanging="302"/>
        <w:spacing w:after="0"/>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and agrees with, each of the Underwriters that:</w:t>
      </w:r>
    </w:p>
    <w:p>
      <w:pPr>
        <w:spacing w:after="0" w:line="195" w:lineRule="exact"/>
        <w:rPr>
          <w:sz w:val="20"/>
          <w:szCs w:val="20"/>
          <w:color w:val="auto"/>
        </w:rPr>
      </w:pPr>
    </w:p>
    <w:p>
      <w:pPr>
        <w:ind w:right="2399"/>
        <w:spacing w:after="0" w:line="249" w:lineRule="auto"/>
        <w:tabs>
          <w:tab w:leader="none" w:pos="3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meets the requirements for the use of Form S-3 under the Securities Act of 1933, as amended (the "Act"), and has filed with the Securities and Exchange Commission (the "Commission") a registration statement on Form S-3 (No. 333-39640) under the Act, which has become effective, for the registration under the Act of the Securities (such registration statement, including the exhibits thereto, as amended at the date of this Agreement, is hereinafter called the "Registration Statement"). No stop order suspending the effectiveness of the Registration Statement is in effect, and no proceedings for such purpose are pending before or, to the knowledge of the Company, threatened by the Commission. The Company proposes to</w:t>
      </w:r>
    </w:p>
    <w:p>
      <w:pPr>
        <w:sectPr>
          <w:pgSz w:w="11900" w:h="16838" w:orient="portrait"/>
          <w:cols w:equalWidth="0" w:num="1">
            <w:col w:w="10219"/>
          </w:cols>
          <w:pgMar w:left="240" w:top="330" w:right="1440" w:bottom="1440" w:gutter="0" w:footer="0" w:header="0"/>
        </w:sectPr>
      </w:pPr>
    </w:p>
    <w:bookmarkStart w:id="6" w:name="page7"/>
    <w:bookmarkEnd w:id="6"/>
    <w:p>
      <w:pPr>
        <w:ind w:right="2399"/>
        <w:spacing w:after="0" w:line="249" w:lineRule="auto"/>
        <w:rPr>
          <w:sz w:val="20"/>
          <w:szCs w:val="20"/>
          <w:color w:val="auto"/>
        </w:rPr>
      </w:pPr>
      <w:r>
        <w:rPr>
          <w:rFonts w:ascii="Courier New" w:cs="Courier New" w:eastAsia="Courier New" w:hAnsi="Courier New"/>
          <w:sz w:val="16"/>
          <w:szCs w:val="16"/>
          <w:color w:val="auto"/>
        </w:rPr>
        <w:t>file with the Commission pursuant to Rule 424 under the Act a supplement or supplements to the form of prospectus included in the Registration Statement relating to the Securities and the plan of distribution thereof; such prospectus in the form in which it appears in the Registration Statement is hereinafter called the "Basic Prospectus"; and such supplemented form of prospectus, in the form in which it shall be filed with the Commission pursuant to Rule 424 (including the Basic Prospectus as so supplemented) is hereinafter called the "Final Prospectus." Any preliminary form of the Final Prospectus which has heretofore been filed pursuant to Rule 424 is hereinafter called the "Preliminary Final Prospectus." Any reference herein to the Registration Statement, the Basic Prospectus, any Preliminary Final Prospectus or the Final Prospectus shall be deemed to refer to and include the documents incorporated by reference therein pursuant to Item 12 of Form S-3 which were filed under the Securities Exchange Act of 1934, as amended (the "Exchange Act"), on or before the date of this Agreement, or the issue date of the Basic Prospectus, any Preliminary Final Prospectus or the Final Prospectus, as the case may be; and any reference herein to the terms "amend," "amendment" or "supplement" with respect to the Registration Statement, the Basic Prospectus, any Preliminary Final Prospectus or the Final Prospectus shall be deemed to refer to and include the filing of any document under the Exchange Act after the date of this Agreement, or the issue date of the Basic Prospectus, any Preliminary Final Prospectus or the Final Prospectus, as the case may be, deemed to be incorporated therein by reference.</w:t>
      </w:r>
    </w:p>
    <w:p>
      <w:pPr>
        <w:spacing w:after="0" w:line="374" w:lineRule="exact"/>
        <w:rPr>
          <w:sz w:val="20"/>
          <w:szCs w:val="20"/>
          <w:color w:val="auto"/>
        </w:rPr>
      </w:pPr>
    </w:p>
    <w:p>
      <w:pPr>
        <w:ind w:right="2399" w:firstLine="978"/>
        <w:spacing w:after="0" w:line="249" w:lineRule="auto"/>
        <w:tabs>
          <w:tab w:leader="none" w:pos="13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when the Final Prospectus is first filed or transmitted for filing pursuant to Rule 424 under the Act, when, prior to the Time of Delivery (as hereinafter defined), any amendment to the Registration Statement becomes effective (including the filing of any document incorporated by reference in the Registration Statement), when any supplement to the Final Prospectus is filed with the Commission and at the Time of Delivery, (i) the Registration Statement, as amended as of any such time, the Final Prospectus, as amended or supplemented as of any such time, and the Indenture complied and will comply in all material respects with the applicable requirements of the Act, the Trust Indenture Act of 1939, as amended (the "Trust Indenture Act"), and the Exchange Act and the respective rules thereunder and (ii) neither the Registration Statement, as amended as of any such time, nor the Final Prospectus, as amended or supplemented as of such time, contained or will contain any untrue statement of a material fact or omit to state any material fact required to be stated therein or necessary in order to make the statements therein not misleading; provided, however, that the Company makes no representations or warranties as to (i) the parts of the Registration Statement which constitute the Statement of Eligibility and Qualification (Form T-1) under the Trust Indenture Act of the Trustees (the "Form T-1") or (ii) the information contained in or omitted from the Registration Statement or the Final Prospectus or any amendment thereof or supplement thereto in reliance upon and in conformity with information relating to such Underwriter or the underwriting arrangements furnished in writing to the Company by any Underwriter specifically for use in the Registration Statement and the Final Prospectus.</w:t>
      </w:r>
    </w:p>
    <w:p>
      <w:pPr>
        <w:spacing w:after="0" w:line="185" w:lineRule="exact"/>
        <w:rPr>
          <w:rFonts w:ascii="Courier New" w:cs="Courier New" w:eastAsia="Courier New" w:hAnsi="Courier New"/>
          <w:sz w:val="16"/>
          <w:szCs w:val="16"/>
          <w:color w:val="auto"/>
        </w:rPr>
      </w:pPr>
    </w:p>
    <w:p>
      <w:pPr>
        <w:ind w:right="2499" w:firstLine="978"/>
        <w:spacing w:after="0" w:line="249" w:lineRule="auto"/>
        <w:tabs>
          <w:tab w:leader="none" w:pos="13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document incorporated by reference in the Registration Statement and the Final Prospectus, at the time they were, or hereafter are, filed with the Commission, complied or will comply and, at any time when a prospectus relating to the Securities is required to be delivered under the Act in connection with sales by any Underwriter or dealer, will comply in all material respects with the Exchange Act and the rules and regulations promulgated thereunder.</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7" w:name="page8"/>
    <w:bookmarkEnd w:id="7"/>
    <w:p>
      <w:pPr>
        <w:ind w:left="-978" w:right="2399" w:firstLine="978"/>
        <w:spacing w:after="0" w:line="249"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the jurisdiction of its incorporation, has the corporate power and authority to own its property and to conduct its business as described in the Final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7" w:lineRule="exact"/>
        <w:rPr>
          <w:rFonts w:ascii="Courier New" w:cs="Courier New" w:eastAsia="Courier New" w:hAnsi="Courier New"/>
          <w:sz w:val="16"/>
          <w:szCs w:val="16"/>
          <w:color w:val="auto"/>
        </w:rPr>
      </w:pPr>
    </w:p>
    <w:p>
      <w:pPr>
        <w:ind w:left="-978" w:right="2399" w:firstLine="978"/>
        <w:spacing w:after="0" w:line="249"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of the Company listed in Schedule III hereto (each, a "Principal Subsidiary") has been duly incorporated, is validly existing as a corporation in good standing under the laws of the jurisdiction of its incorporation, has the corporate power and authority to own its property and to conduct its business as described in the Final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The Principal Subsidiaries are currently the only operating insurance companies that are "significant subsidiaries" of the Company as that term is defined in Rule 1-02(w) of Regulation S-X of the rules and regulations of the Commission under the Act.</w:t>
      </w:r>
    </w:p>
    <w:p>
      <w:pPr>
        <w:spacing w:after="0" w:line="186" w:lineRule="exact"/>
        <w:rPr>
          <w:rFonts w:ascii="Courier New" w:cs="Courier New" w:eastAsia="Courier New" w:hAnsi="Courier New"/>
          <w:sz w:val="16"/>
          <w:szCs w:val="16"/>
          <w:color w:val="auto"/>
        </w:rPr>
      </w:pPr>
    </w:p>
    <w:p>
      <w:pPr>
        <w:ind w:left="-978" w:right="2399" w:firstLine="978"/>
        <w:spacing w:after="0" w:line="249"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issued shares of capital stock of each Principal Subsidiary have been duly and validly authorized and issued, are fully paid and nonassessable, and are owned of record directly or indirectly by the Company or another Principal Subsidiary, as the case may be, free and clear of any security interest, claim, lien or encumbrance.</w:t>
      </w:r>
    </w:p>
    <w:p>
      <w:pPr>
        <w:spacing w:after="0" w:line="187" w:lineRule="exact"/>
        <w:rPr>
          <w:rFonts w:ascii="Courier New" w:cs="Courier New" w:eastAsia="Courier New" w:hAnsi="Courier New"/>
          <w:sz w:val="16"/>
          <w:szCs w:val="16"/>
          <w:color w:val="auto"/>
        </w:rPr>
      </w:pPr>
    </w:p>
    <w:p>
      <w:pPr>
        <w:ind w:left="-978" w:right="2399" w:firstLine="978"/>
        <w:spacing w:after="0" w:line="248"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Principal Subsidiary is duly licensed or authorized as an insurer or reinsurer in each jurisdiction where it is required to be so licensed, except where the failure to be so licensed or authorized in any such jurisdiction does not have a material adverse effect on the financial condition, business or properties of the Company and its subsidiaries taken as a whole; the Company and each Principal Subsidiary have made all required filings under applicable insurance holding company statutes, and each is duly licensed or authorized as an insurance holding company in each jurisdiction where it is required to be so licensed, except where the failure to have made such filings or to be so licensed or authorized in any such jurisdiction does not have a material adverse effect on the financial condition, business or properties of the Company and its subsidiaries taken as a whole; the Company and each Principal Subsidiary have all necessary authorizations, approvals, orders, consents, registrations or qualifications of and from all insurance regulatory authorities to conduct their respective businesses as described in the Final Prospectus as amended or supplemented, except where the failure to have such authorizations, approvals, orders, consents, registrations or qualifications does not have a material adverse effect on the financial condition, business or properties of the Company and its subsidiaries taken as a whole; and none of the Company or any Principal Subsidiary has received any notification from any insurance regulatory authority to the effect that any additional authorization, approval, order, consent, registration or qualification from such insurance regulatory authority is needed to be obtained by any of the Company or any Principal Subsidiary in any case where it could be reasonably expected that (x) the Company or any Principal Subsidiary would in fact be required either to obtain any such additional authorization, approval, order, consent, registration or qualification or cease or otherwise limit writing certain business</w:t>
      </w:r>
    </w:p>
    <w:p>
      <w:pPr>
        <w:spacing w:after="0" w:line="206"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242"/>
          </w:cols>
          <w:pgMar w:left="1218" w:top="868" w:right="1440" w:bottom="1440" w:gutter="0" w:footer="0" w:header="0"/>
        </w:sectPr>
      </w:pPr>
    </w:p>
    <w:bookmarkStart w:id="8" w:name="page9"/>
    <w:bookmarkEnd w:id="8"/>
    <w:p>
      <w:pPr>
        <w:ind w:right="2799"/>
        <w:spacing w:after="0" w:line="249" w:lineRule="auto"/>
        <w:rPr>
          <w:sz w:val="20"/>
          <w:szCs w:val="20"/>
          <w:color w:val="auto"/>
        </w:rPr>
      </w:pPr>
      <w:r>
        <w:rPr>
          <w:rFonts w:ascii="Courier New" w:cs="Courier New" w:eastAsia="Courier New" w:hAnsi="Courier New"/>
          <w:sz w:val="16"/>
          <w:szCs w:val="16"/>
          <w:color w:val="auto"/>
        </w:rPr>
        <w:t>and (y) obtaining such authorization, approval, order, consent, license, certificate, permit, registration or qualification or limiting such business would have a material adverse effect on the business, financial position or results of operations of the Company and its subsidiaries, taken as a whole.</w:t>
      </w:r>
    </w:p>
    <w:p>
      <w:pPr>
        <w:spacing w:after="0" w:line="188" w:lineRule="exact"/>
        <w:rPr>
          <w:sz w:val="20"/>
          <w:szCs w:val="20"/>
          <w:color w:val="auto"/>
        </w:rPr>
      </w:pPr>
    </w:p>
    <w:p>
      <w:pPr>
        <w:ind w:right="2399" w:firstLine="978"/>
        <w:spacing w:after="0" w:line="249" w:lineRule="auto"/>
        <w:tabs>
          <w:tab w:leader="none" w:pos="13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Principal Subsidiary is in compliance with the requirements of the insurance laws and regulations of its state of incorporation and the insurance laws and regulations of other jurisdictions which are applicable to such Principal Subsidiary, and has filed all notices, reports, documents or other information required to be filed thereunder, except where the failure to so comply or file would not have a material adverse effect on the business, financial position or results of operations of the Company and its subsidiaries, taken as a whole.</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Final Prospectus, there are no legal or governmental proceedings pending to which the Company or any of its subsidiaries is a party or to which any property of the Company or any of its subsidiaries is the subject which, if determined adversely to the Company or any of its subsidiaries, individually or in the aggregate, could reasonably be expected to have a material adverse effect on the financial condition, business or properties of the Company and its subsidiaries taken as a whole; and, to the best of the Company's knowledge, no such proceedings are threatened.</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94"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87" w:lineRule="exact"/>
        <w:rPr>
          <w:rFonts w:ascii="Courier New" w:cs="Courier New" w:eastAsia="Courier New" w:hAnsi="Courier New"/>
          <w:sz w:val="16"/>
          <w:szCs w:val="16"/>
          <w:color w:val="auto"/>
        </w:rPr>
      </w:pPr>
    </w:p>
    <w:p>
      <w:pPr>
        <w:ind w:right="2499" w:firstLine="978"/>
        <w:spacing w:after="0" w:line="249" w:lineRule="auto"/>
        <w:tabs>
          <w:tab w:leader="none" w:pos="13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the Securities are issued and delivered pursuant to this Agreement, such Securities will have been duly executed, authenticated, issued and delivered and will constitute valid and legally binding obligations of the Company entitled to the benefits provided by the Indenture.</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and sale of the Securities and compliance by the Company with all of the provisions of the Securities, the Indenture and this Agreement will not conflict with or result in a breach or violation of any of the terms or provisions of, or constitute a default under, any indenture, mortgage, deed of trust, loan agreement or other agreement or instrument for borrowed money to which the Company or any Principal Subsidiary is a party or by which the Company or any of its Principal Subsidiaries is bound or to which any of the property or assets of the Company or any of its Principal Subsidiaries is subject, nor will such action result in any violation of the provisions of the Certificate of Incorporation or By-laws of the Company or any of its Principal Subsidiaries or any statute or any order, rule or regulation of any court or insurance regulatory authority or other governmental agency or body having jurisdiction over the Company or any of its Principal Subsidiaries or any of their properties, in each case other than such breaches, conflicts, violations or defaults which, individually or in the aggregate, would not have a material adverse effect on the Company and its subsidiaries taken as a whole, and no</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8" w:right="1440" w:bottom="1440" w:gutter="0" w:footer="0" w:header="0"/>
        </w:sectPr>
      </w:pPr>
    </w:p>
    <w:bookmarkStart w:id="9" w:name="page10"/>
    <w:bookmarkEnd w:id="9"/>
    <w:p>
      <w:pPr>
        <w:ind w:right="2399"/>
        <w:spacing w:after="0" w:line="249" w:lineRule="auto"/>
        <w:rPr>
          <w:sz w:val="20"/>
          <w:szCs w:val="20"/>
          <w:color w:val="auto"/>
        </w:rPr>
      </w:pPr>
      <w:r>
        <w:rPr>
          <w:rFonts w:ascii="Courier New" w:cs="Courier New" w:eastAsia="Courier New" w:hAnsi="Courier New"/>
          <w:sz w:val="16"/>
          <w:szCs w:val="16"/>
          <w:color w:val="auto"/>
        </w:rPr>
        <w:t>authorization, approval, order, consent, registration or qualification of or with any such court or insurance regulatory authority or other governmental agency or body is required for the issue or sale of the Securities, except such authorizations, approvals, orders, consents, registrations or qualifications as may be required under state or foreign securities or Blue Sky laws in connection with the purchase and distribution of the Securities by the Underwriters, in each case other than such authorizations, approvals, orders, consents, registrations or qualifications which (individually or in the aggregate) the failure to make, obtain or comply with would not have a material adverse effect on the Company and its subsidiaries, taken as a whole.</w:t>
      </w:r>
    </w:p>
    <w:p>
      <w:pPr>
        <w:spacing w:after="0" w:line="187" w:lineRule="exact"/>
        <w:rPr>
          <w:sz w:val="20"/>
          <w:szCs w:val="20"/>
          <w:color w:val="auto"/>
        </w:rPr>
      </w:pPr>
    </w:p>
    <w:p>
      <w:pPr>
        <w:ind w:right="2399" w:firstLine="978"/>
        <w:spacing w:after="0" w:line="249" w:lineRule="auto"/>
        <w:tabs>
          <w:tab w:leader="none" w:pos="136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or contemplated by the Registration Statement and the Final Prospectus, there has not been any material adverse change in, or any adverse development which materially affects, the business, properties, financial condition or results of operations of the Company and its subsidiaries taken as a whole from the dates as of which information is given in the Registration Statement and the Final Prospectus; and, since the respective dates as of which information is given in the Registration Statement and the Final Prospectus, there has not been any material increase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incorporated by reference in the Final Prospectus) or any material increase in the consolidated long-term debt of the Company and its subsidiaries or any material adverse change, or any development involving a prospective material adverse change, in or affecting the general affairs, management, financial position, stockholders' equity or results of operations of the Company and its subsidiaries, taken as a whole, otherwise than as set forth or contemplated in the Final Prospectus.</w:t>
      </w:r>
    </w:p>
    <w:p>
      <w:pPr>
        <w:spacing w:after="0" w:line="186"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material contracts, agreements or understandings between the Company and any person granting such person the right to require the Company to file a registration statement under the Act with respect to any notes or debt of the Company owned or to be owned by such person or to require the Company to include such securities for registration pursuant to the Registration Statement or pursuant to any other registration statement filed by the Company under the Act.</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Securities and the application of the net proceeds therefrom as described in the Final Prospectus, will not be an "investment company" or an entity "controlled" by an "investment company," as such terms are defined in the Investment Company Act of 1940, as amended.</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8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2. Purchase and Sale. The Company hereby agrees to sell to the several</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Underwriters, and each Underwriter, upon the basis of the representations and warranties herein contained, but subject to the conditions hereinafter stated, agree, severally and not jointly, to purchase from the Company the respective principal amounts of the Securities set forth in Schedule II hereto</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8" w:right="1440" w:bottom="1440" w:gutter="0" w:footer="0" w:header="0"/>
        </w:sectPr>
      </w:pPr>
    </w:p>
    <w:bookmarkStart w:id="10" w:name="page11"/>
    <w:bookmarkEnd w:id="10"/>
    <w:p>
      <w:pPr>
        <w:jc w:val="both"/>
        <w:ind w:right="2399"/>
        <w:spacing w:after="0" w:line="250" w:lineRule="auto"/>
        <w:rPr>
          <w:sz w:val="20"/>
          <w:szCs w:val="20"/>
          <w:color w:val="auto"/>
        </w:rPr>
      </w:pPr>
      <w:r>
        <w:rPr>
          <w:rFonts w:ascii="Courier New" w:cs="Courier New" w:eastAsia="Courier New" w:hAnsi="Courier New"/>
          <w:sz w:val="16"/>
          <w:szCs w:val="16"/>
          <w:color w:val="auto"/>
        </w:rPr>
        <w:t>opposite their names at 98.785% of the principal amount -- the purchase price -- plus accrued interest, if any, from December 17, 2002 to the date of payment and delivery.</w:t>
      </w:r>
    </w:p>
    <w:p>
      <w:pPr>
        <w:spacing w:after="0" w:line="18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3. Payment and Delivery of the Securities. Delivery of and payment for</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Securities shall be made at 10:00 AM, New York City time, on December 17, 2002,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"Time of Delivery").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 day funds to an account specified by the Company. Delivery of the Securities shall be made through the facilities of the Depositary Trust Company unless the Representatives otherwise instruct.</w:t>
      </w:r>
    </w:p>
    <w:p>
      <w:pPr>
        <w:spacing w:after="0" w:line="187" w:lineRule="exact"/>
        <w:rPr>
          <w:sz w:val="20"/>
          <w:szCs w:val="20"/>
          <w:color w:val="auto"/>
        </w:rPr>
      </w:pPr>
    </w:p>
    <w:p>
      <w:pPr>
        <w:ind w:left="1280" w:hanging="302"/>
        <w:spacing w:after="0"/>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by Underwriters. It is understood that the several</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Underwriters propose to offer the Securities for sale to the public as set forth in the Final Prospectus.</w:t>
      </w:r>
    </w:p>
    <w:p>
      <w:pPr>
        <w:spacing w:after="0" w:line="183" w:lineRule="exact"/>
        <w:rPr>
          <w:sz w:val="20"/>
          <w:szCs w:val="20"/>
          <w:color w:val="auto"/>
        </w:rPr>
      </w:pPr>
    </w:p>
    <w:p>
      <w:pPr>
        <w:ind w:left="1280" w:hanging="302"/>
        <w:spacing w:after="0"/>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Covenants. The Company agrees with each of the Underwriters</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Securities:</w:t>
      </w:r>
    </w:p>
    <w:p>
      <w:pPr>
        <w:spacing w:after="0" w:line="195" w:lineRule="exact"/>
        <w:rPr>
          <w:sz w:val="20"/>
          <w:szCs w:val="20"/>
          <w:color w:val="auto"/>
        </w:rPr>
      </w:pPr>
    </w:p>
    <w:p>
      <w:pPr>
        <w:ind w:right="2399" w:firstLine="978"/>
        <w:spacing w:after="0" w:line="248" w:lineRule="auto"/>
        <w:tabs>
          <w:tab w:leader="none" w:pos="136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To prepare the Final Prospectus as amended and supplemented in relation to the Securities in a form approved by the Representatives and to timely file such Final Prospectus pursuant to Rule 424(b) under the Act; (ii) to make no further amendment or any supplement to the Registration Statement or Final Prospectus as amended or supplemented after the date hereof and prior to the Time of Delivery for the Securities unless the Representatives shall have had a reasonable opportunity to review and comment upon any such amendment or supplement prior to any filing thereof; (iii) to advise the Representatives promptly of any such amendment or supplement after such Time of Delivery and furnish the Representatives with copies thereof; (iv)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the Securities, and during such same period to advise the Representatives, promptly after it receives notice thereof, of (I) the time when any amendment to the Registration Statement has been filed or becomes effective or any supplement to the Final Prospectus or any amended Final Prospectus has been filed with the Commission, (II) the issuance by the Commission of any stop order or of any order preventing or suspending the use of the Final Prospectus, (III) the suspension of the qualification of the Securities for offering or sale in any jurisdiction or of the initiation or threatening of any proceeding for any such purpose, or (IV) any request by the Commission for the amending or supplementing of the Registration Statement or the Final Prospectus or for additional information; and, in the event of the issuance of any such stop order or of any such order preventing or suspending the use of the Final Prospectus or suspending any such qualification, to use promptly its best efforts to obtain its withdrawal;</w:t>
      </w:r>
    </w:p>
    <w:p>
      <w:pPr>
        <w:spacing w:after="0" w:line="205" w:lineRule="exact"/>
        <w:rPr>
          <w:rFonts w:ascii="Courier New" w:cs="Courier New" w:eastAsia="Courier New" w:hAnsi="Courier New"/>
          <w:sz w:val="16"/>
          <w:szCs w:val="16"/>
          <w:color w:val="auto"/>
        </w:rPr>
      </w:pPr>
    </w:p>
    <w:p>
      <w:pPr>
        <w:ind w:right="2399" w:firstLine="978"/>
        <w:spacing w:after="0" w:line="250" w:lineRule="auto"/>
        <w:tabs>
          <w:tab w:leader="none" w:pos="136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the Securities for offering and sale under the securities and insurance securities laws of such jurisdictions as the Representatives may request and to comply with such laws so as</w:t>
      </w:r>
    </w:p>
    <w:p>
      <w:pPr>
        <w:spacing w:after="0" w:line="200" w:lineRule="exact"/>
        <w:rPr>
          <w:sz w:val="20"/>
          <w:szCs w:val="20"/>
          <w:color w:val="auto"/>
        </w:rPr>
      </w:pPr>
    </w:p>
    <w:p>
      <w:pPr>
        <w:spacing w:after="0" w:line="36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11" w:name="page12"/>
    <w:bookmarkEnd w:id="11"/>
    <w:p>
      <w:pPr>
        <w:ind w:right="2499"/>
        <w:spacing w:after="0" w:line="249" w:lineRule="auto"/>
        <w:rPr>
          <w:sz w:val="20"/>
          <w:szCs w:val="20"/>
          <w:color w:val="auto"/>
        </w:rPr>
      </w:pPr>
      <w:r>
        <w:rPr>
          <w:rFonts w:ascii="Courier New" w:cs="Courier New" w:eastAsia="Courier New" w:hAnsi="Courier New"/>
          <w:sz w:val="16"/>
          <w:szCs w:val="16"/>
          <w:color w:val="auto"/>
        </w:rPr>
        <w:t>to permit the continuance of sales and dealings therein in such jurisdictions for as long as may be necessary to complete the distribution of the Securities, provided that in connection therewith, the Company shall not be required to qualify as a foreign corporation or to file a general consent to service of process in any jurisdiction;</w:t>
      </w:r>
    </w:p>
    <w:p>
      <w:pPr>
        <w:spacing w:after="0" w:line="187" w:lineRule="exact"/>
        <w:rPr>
          <w:sz w:val="20"/>
          <w:szCs w:val="20"/>
          <w:color w:val="auto"/>
        </w:rPr>
      </w:pPr>
    </w:p>
    <w:p>
      <w:pPr>
        <w:ind w:right="2399" w:firstLine="978"/>
        <w:spacing w:after="0" w:line="249" w:lineRule="auto"/>
        <w:tabs>
          <w:tab w:leader="none" w:pos="13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the Underwriters with copies of the Final Prospectus as amended or supplemented in such quantities as the Representatives may from time to time reasonably request, and, if the delivery of a prospectus is required at any time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light of the circumstances under which they were made when such Final Prospectus is delivered, not misleading, or, if for any other reason it shall be necessary during such period to amend or supplement the Final Prospectus or to file under the Exchange Act any document incorporated by reference in the Final Prospectus in order to comply with the Act, the Exchange Act or the Trust Indenture Act, to notify the Representatives and upon their request to prepare and furnish without charge to each Underwriter and to any dealer in securities as many copies as the Representatives may from time to time reasonably request of an amended Final Prospectus or a supplement to the Final Prospectus which will correct such statement or omission or effect such compliance;</w:t>
      </w:r>
    </w:p>
    <w:p>
      <w:pPr>
        <w:spacing w:after="0" w:line="374"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an earnings statement of the Company and its subsidiaries (which need not be audited) complying with Section 11(a) of the Act and the rules and regulations thereunder; and</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hereof and continuing to and including the latter of (i) the termination of trading restrictions for the Securities, as notified to the Company by the Representatives or their counsel and (ii) the Time of Delivery for the Securities, not to offer, sell, contract to sell or otherwise dispose of any securities of the Company which are substantially similar to the Securities, without the prior written consent of the Representatives, which consent shall not be unreasonably withheld.</w:t>
      </w:r>
    </w:p>
    <w:p>
      <w:pPr>
        <w:spacing w:after="0" w:line="187" w:lineRule="exact"/>
        <w:rPr>
          <w:rFonts w:ascii="Courier New" w:cs="Courier New" w:eastAsia="Courier New" w:hAnsi="Courier New"/>
          <w:sz w:val="16"/>
          <w:szCs w:val="16"/>
          <w:color w:val="auto"/>
        </w:rPr>
      </w:pPr>
    </w:p>
    <w:p>
      <w:pPr>
        <w:ind w:right="2499" w:firstLine="978"/>
        <w:spacing w:after="0" w:line="249" w:lineRule="auto"/>
        <w:tabs>
          <w:tab w:leader="none" w:pos="13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7" w:lineRule="exact"/>
        <w:rPr>
          <w:sz w:val="20"/>
          <w:szCs w:val="20"/>
          <w:color w:val="auto"/>
        </w:rPr>
      </w:pPr>
    </w:p>
    <w:p>
      <w:pPr>
        <w:ind w:left="1280" w:hanging="302"/>
        <w:spacing w:after="0"/>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Expenses. The Company covenants and agrees with the</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several Underwriters that the Company will pay or cause to be paid the following: (i) the fees, disbursements and expenses of the Company's counsel and accountants in connection with the registration of the Securities under the Act and all other expenses incurred in connection with the preparation, printing and filing of the Registration Statement, Basic Prospectus, any Preliminary Final Prospectus and the Final Prospectus and amendments and supplements thereto and the mailing and delivering of copies thereof to the Underwriters and dealers;</w:t>
      </w:r>
    </w:p>
    <w:p>
      <w:pPr>
        <w:spacing w:after="0" w:line="5" w:lineRule="exact"/>
        <w:rPr>
          <w:sz w:val="20"/>
          <w:szCs w:val="20"/>
          <w:color w:val="auto"/>
        </w:rPr>
      </w:pPr>
    </w:p>
    <w:p>
      <w:pPr>
        <w:jc w:val="both"/>
        <w:ind w:right="2599"/>
        <w:spacing w:after="0" w:line="250" w:lineRule="auto"/>
        <w:tabs>
          <w:tab w:leader="none" w:pos="4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printing or producing this Agreement, any Blue Sky Survey and any Legal Investment Memoranda in connection with the offering, purchase, sale and delivery of the Securities; (iii) all reasonable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12" w:name="page13"/>
    <w:bookmarkEnd w:id="12"/>
    <w:p>
      <w:pPr>
        <w:ind w:right="2399"/>
        <w:spacing w:after="0" w:line="248" w:lineRule="auto"/>
        <w:rPr>
          <w:sz w:val="20"/>
          <w:szCs w:val="20"/>
          <w:color w:val="auto"/>
        </w:rPr>
      </w:pPr>
      <w:r>
        <w:rPr>
          <w:rFonts w:ascii="Courier New" w:cs="Courier New" w:eastAsia="Courier New" w:hAnsi="Courier New"/>
          <w:sz w:val="16"/>
          <w:szCs w:val="16"/>
          <w:color w:val="auto"/>
        </w:rPr>
        <w:t>expenses in connection with the qualification of the Securities for offering and sale under state securities and insurance securities laws as provided in Section 5(b) hereof, including the reasonable fees and disbursements of counsel for the Underwriters in connection with such qualification and in connection with the Blue Sky and Legal Investment surveys; (iv) the filing fees incident to securing any required review by the National Association of Securities Dealers, Inc. of the terms of the sale of the Securities; (v) any fees charged by securities rating services for rating the Securities; (vi) the cost of preparing the Securities; (vii) the fees and expenses of any Trustee, Paying Agent or Transfer Agent and the fees and disbursements of counsel for any such Trustee, Paying Agent or Transfer Agent in connection with the Indenture and the Securities; and</w:t>
      </w:r>
    </w:p>
    <w:p>
      <w:pPr>
        <w:spacing w:after="0" w:line="7" w:lineRule="exact"/>
        <w:rPr>
          <w:sz w:val="20"/>
          <w:szCs w:val="20"/>
          <w:color w:val="auto"/>
        </w:rPr>
      </w:pPr>
    </w:p>
    <w:p>
      <w:pPr>
        <w:ind w:right="2399"/>
        <w:spacing w:after="0" w:line="249" w:lineRule="auto"/>
        <w:tabs>
          <w:tab w:leader="none" w:pos="6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costs and expenses incident to the performance of its obligations hereunder which are not otherwise specifically provided in this Section. It is understood, however, that, except as provided in this Section, Section 8 and Section 9 hereof, the Underwriters will pay all of their own costs and expenses, including the fees of their counsel, transfer taxes on resale of any of the Securities by them, and any advertising expenses connected with any offers they may make.</w:t>
      </w:r>
    </w:p>
    <w:p>
      <w:pPr>
        <w:spacing w:after="0" w:line="187" w:lineRule="exact"/>
        <w:rPr>
          <w:sz w:val="20"/>
          <w:szCs w:val="20"/>
          <w:color w:val="auto"/>
        </w:rPr>
      </w:pPr>
    </w:p>
    <w:p>
      <w:pPr>
        <w:ind w:left="1280" w:hanging="302"/>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Underwriters' Obligations. The obligations of the</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Underwriters to purchase the Securities shall be subject to the accuracy of the representations and warranties on the part of the Company contained herein as of the execution of this Agreement and as of the Time of Delivery, to the accuracy of the statements of the Company made in any certificates pursuant to the provisions hereof, to the performance by the Company of its obligations hereunder and to the following additional conditions:</w:t>
      </w:r>
    </w:p>
    <w:p>
      <w:pPr>
        <w:spacing w:after="0" w:line="187" w:lineRule="exact"/>
        <w:rPr>
          <w:sz w:val="20"/>
          <w:szCs w:val="20"/>
          <w:color w:val="auto"/>
        </w:rPr>
      </w:pPr>
    </w:p>
    <w:p>
      <w:pPr>
        <w:ind w:right="2399" w:firstLine="978"/>
        <w:spacing w:after="0" w:line="249" w:lineRule="auto"/>
        <w:tabs>
          <w:tab w:leader="none" w:pos="136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Prospectus as amended or supplemented in relation to the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LeBoeuf, Lamb, Greene &amp; MacRae, L.L.P., counsel for the Company, shall have furnished to you their written opinion, dated the Time of Delivery for the Securities, in form and substance reasonably satisfactory to you, to the effect that:</w:t>
      </w:r>
    </w:p>
    <w:p>
      <w:pPr>
        <w:spacing w:after="0" w:line="187" w:lineRule="exact"/>
        <w:rPr>
          <w:rFonts w:ascii="Courier New" w:cs="Courier New" w:eastAsia="Courier New" w:hAnsi="Courier New"/>
          <w:sz w:val="16"/>
          <w:szCs w:val="16"/>
          <w:color w:val="auto"/>
        </w:rPr>
      </w:pPr>
    </w:p>
    <w:p>
      <w:pPr>
        <w:ind w:left="980" w:right="2399" w:firstLine="975"/>
        <w:spacing w:after="0" w:line="249" w:lineRule="auto"/>
        <w:tabs>
          <w:tab w:leader="none" w:pos="234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corporate power and authority to own or lease, as the case may be, and to operate its properties and conduct its business as described in the Final Prospectus as amended and supplemented;</w:t>
      </w:r>
    </w:p>
    <w:p>
      <w:pPr>
        <w:spacing w:after="0" w:line="375" w:lineRule="exact"/>
        <w:rPr>
          <w:rFonts w:ascii="Courier New" w:cs="Courier New" w:eastAsia="Courier New" w:hAnsi="Courier New"/>
          <w:sz w:val="16"/>
          <w:szCs w:val="16"/>
          <w:color w:val="auto"/>
        </w:rPr>
      </w:pPr>
    </w:p>
    <w:p>
      <w:pPr>
        <w:ind w:left="980" w:right="2599" w:firstLine="975"/>
        <w:spacing w:after="0" w:line="252" w:lineRule="auto"/>
        <w:tabs>
          <w:tab w:leader="none" w:pos="244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left="980" w:right="2879" w:firstLine="975"/>
        <w:spacing w:after="0" w:line="249" w:lineRule="auto"/>
        <w:tabs>
          <w:tab w:leader="none" w:pos="254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(assuming their due authentication by the Trustee) have been duly executed, issued and delivered and constitute valid and legally binding obligations of the Company entitled to the benefits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8" w:right="1440" w:bottom="1440" w:gutter="0" w:footer="0" w:header="0"/>
        </w:sectPr>
      </w:pPr>
    </w:p>
    <w:bookmarkStart w:id="13" w:name="page14"/>
    <w:bookmarkEnd w:id="13"/>
    <w:p>
      <w:pPr>
        <w:ind w:right="2699"/>
        <w:spacing w:after="0" w:line="250" w:lineRule="auto"/>
        <w:rPr>
          <w:sz w:val="20"/>
          <w:szCs w:val="20"/>
          <w:color w:val="auto"/>
        </w:rPr>
      </w:pPr>
      <w:r>
        <w:rPr>
          <w:rFonts w:ascii="Courier New" w:cs="Courier New" w:eastAsia="Courier New" w:hAnsi="Courier New"/>
          <w:sz w:val="16"/>
          <w:szCs w:val="16"/>
          <w:color w:val="auto"/>
        </w:rPr>
        <w:t>provided by the Indenture, and the Securities and the Indenture conform in all material respects to the descriptions thereof in the Final Prospectus as amended or supplemented;</w:t>
      </w:r>
    </w:p>
    <w:p>
      <w:pPr>
        <w:spacing w:after="0" w:line="185" w:lineRule="exact"/>
        <w:rPr>
          <w:sz w:val="20"/>
          <w:szCs w:val="20"/>
          <w:color w:val="auto"/>
        </w:rPr>
      </w:pPr>
    </w:p>
    <w:p>
      <w:pPr>
        <w:ind w:right="2499" w:firstLine="975"/>
        <w:spacing w:after="0" w:line="249" w:lineRule="auto"/>
        <w:tabs>
          <w:tab w:leader="none" w:pos="146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Company, and constitutes a valid and legally binding instrument, enforceable in accordance with its terms, subject, as to enforcement, to bankruptcy, insolvency, reorganization and other laws of general applicability relating to or affecting creditors' rights and to general equity principles;</w:t>
      </w:r>
    </w:p>
    <w:p>
      <w:pPr>
        <w:spacing w:after="0" w:line="187" w:lineRule="exact"/>
        <w:rPr>
          <w:rFonts w:ascii="Courier New" w:cs="Courier New" w:eastAsia="Courier New" w:hAnsi="Courier New"/>
          <w:sz w:val="16"/>
          <w:szCs w:val="16"/>
          <w:color w:val="auto"/>
        </w:rPr>
      </w:pPr>
    </w:p>
    <w:p>
      <w:pPr>
        <w:ind w:right="2399" w:firstLine="975"/>
        <w:spacing w:after="0" w:line="249" w:lineRule="auto"/>
        <w:tabs>
          <w:tab w:leader="none" w:pos="13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Final Prospectus as amended or supplemented and any further amendments thereto made by the Company prior to such Time of Delivery for the Securities (in each case other than with respect to the financial statements, financial and accounting data and related schedules incorporated by reference or included therein or excluded therefrom, or the exhibits to the Registration Statement, including the Form T-1, as to which such counsel need express no opinion or belief), appear on their face to be appropriately responsive in all material respects to the requirements of the Act and the Trust Indenture Act and the applicable rules and regulations of the Commission thereunder; provided that, such counsel shall not be deemed to be passing upon and shall not be required to assume any responsibility for the accuracy, completeness or fairness of the statements contained in the Registration Statement and Final Prospectus;</w:t>
      </w:r>
    </w:p>
    <w:p>
      <w:pPr>
        <w:spacing w:after="0" w:line="186" w:lineRule="exact"/>
        <w:rPr>
          <w:rFonts w:ascii="Courier New" w:cs="Courier New" w:eastAsia="Courier New" w:hAnsi="Courier New"/>
          <w:sz w:val="16"/>
          <w:szCs w:val="16"/>
          <w:color w:val="auto"/>
        </w:rPr>
      </w:pPr>
    </w:p>
    <w:p>
      <w:pPr>
        <w:ind w:right="2399" w:firstLine="975"/>
        <w:spacing w:after="0" w:line="248" w:lineRule="auto"/>
        <w:tabs>
          <w:tab w:leader="none" w:pos="146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such counsel, such counsel reviewed the Registration Statement and Final Prospectus as amended or supplemented, participated in discussions with representatives of the Underwriters and of the Company and its accountants at which contents of the Registration Statement and Final Prospectus as amended or supplemented and related matters were discussed; on the basis of the information that such counsel gained in the course of the performance of their services referred to above, although such counsel shall not be deemed to be passing upon and shall not assume any responsibility for, the accuracy, completeness or fairness of the statements contained in the Registration Statement or the Final Prospectus and shall not be required to have made an independent check or verification thereof (except as described in paragraph (iii) hereof), on the basis of the foregoing, no facts have come to the attention of such counsel in the course of such review which have led such counsel to believe that, as of its effective date, the Registration Statement or any further amendment thereto made by the Company prior to the Time of Delivery (other than the financial statements and the financial and accounting data and related schedules incorporated by reference or included therein or excluded therefrom, or the exhibits to the Registration Statement, including the Form T-1, as to which such counsel need express no opinion) contained an untrue statement of a material fact or omitted to state a material fact required to be stated therein or necessary to make the statements therein not misleading or that, as of its date or the Time of Delivery, the Final Prospectus as amended or supplemented or any further amendment or supplement thereto made by the Company prior to the Time of Delivery (other than the financial statements and financial and accounting data and related schedules incorporated by reference or included therein or excluded therefrom, or the exhibits to the Registration Statement, including the Form T-1, as to which such counsel need express no opinion) contained an untrue statement of a material fact or omitted to state a material fact</w:t>
      </w:r>
    </w:p>
    <w:p>
      <w:pPr>
        <w:spacing w:after="0" w:line="20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239"/>
          </w:cols>
          <w:pgMar w:left="1220" w:top="868" w:right="1440" w:bottom="1440" w:gutter="0" w:footer="0" w:header="0"/>
        </w:sectPr>
      </w:pPr>
    </w:p>
    <w:bookmarkStart w:id="14" w:name="page15"/>
    <w:bookmarkEnd w:id="14"/>
    <w:p>
      <w:pPr>
        <w:ind w:left="2" w:right="3379"/>
        <w:spacing w:after="0" w:line="252" w:lineRule="auto"/>
        <w:rPr>
          <w:sz w:val="20"/>
          <w:szCs w:val="20"/>
          <w:color w:val="auto"/>
        </w:rPr>
      </w:pPr>
      <w:r>
        <w:rPr>
          <w:rFonts w:ascii="Courier New" w:cs="Courier New" w:eastAsia="Courier New" w:hAnsi="Courier New"/>
          <w:sz w:val="16"/>
          <w:szCs w:val="16"/>
          <w:color w:val="auto"/>
        </w:rPr>
        <w:t>necessary to make the statements therein, in light of the circumstances under which they were made not misleading; and</w:t>
      </w:r>
    </w:p>
    <w:p>
      <w:pPr>
        <w:spacing w:after="0" w:line="183" w:lineRule="exact"/>
        <w:rPr>
          <w:sz w:val="20"/>
          <w:szCs w:val="20"/>
          <w:color w:val="auto"/>
        </w:rPr>
      </w:pPr>
    </w:p>
    <w:p>
      <w:pPr>
        <w:ind w:left="2" w:right="2879" w:firstLine="975"/>
        <w:spacing w:after="0" w:line="250" w:lineRule="auto"/>
        <w:tabs>
          <w:tab w:leader="none" w:pos="1566"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 "controlled" by an "investment company," as such terms are defined in the Investment Company Act of 1940, as amended.</w:t>
      </w:r>
    </w:p>
    <w:p>
      <w:pPr>
        <w:spacing w:after="0" w:line="185" w:lineRule="exact"/>
        <w:rPr>
          <w:rFonts w:ascii="Courier New" w:cs="Courier New" w:eastAsia="Courier New" w:hAnsi="Courier New"/>
          <w:sz w:val="16"/>
          <w:szCs w:val="16"/>
          <w:color w:val="auto"/>
        </w:rPr>
      </w:pPr>
    </w:p>
    <w:p>
      <w:pPr>
        <w:ind w:left="-978" w:right="2699" w:firstLine="978"/>
        <w:spacing w:after="0" w:line="249" w:lineRule="auto"/>
        <w:tabs>
          <w:tab w:leader="none" w:pos="39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McCabe, Vice President and General Counsel of the Company, shall have furnished to you his written opinion, dated the Time of Delivery for the Securities, in form and substance reasonably satisfactory to you, to the effect that:</w:t>
      </w:r>
    </w:p>
    <w:p>
      <w:pPr>
        <w:spacing w:after="0" w:line="187" w:lineRule="exact"/>
        <w:rPr>
          <w:rFonts w:ascii="Courier New" w:cs="Courier New" w:eastAsia="Courier New" w:hAnsi="Courier New"/>
          <w:sz w:val="16"/>
          <w:szCs w:val="16"/>
          <w:color w:val="auto"/>
        </w:rPr>
      </w:pPr>
    </w:p>
    <w:p>
      <w:pPr>
        <w:ind w:left="2" w:right="2499" w:firstLine="975"/>
        <w:spacing w:after="0" w:line="249" w:lineRule="auto"/>
        <w:tabs>
          <w:tab w:leader="none" w:pos="137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Allstate Insurance Company ("AIC") and Allstate Life Insurance Company ("ALIC") has been duly incorporated and is validly existing as an insurance corporation under the laws of the State of Illinois, with corporate power and authority to own its properties and conduct its business as described in the Final Prospectus as amended or supplemented (such counsel being entitled to rely, with respect to the opinion in this clause (i), upon the opinions of members of the Company's in-house legal staff,);</w:t>
      </w:r>
    </w:p>
    <w:p>
      <w:pPr>
        <w:spacing w:after="0" w:line="187" w:lineRule="exact"/>
        <w:rPr>
          <w:rFonts w:ascii="Courier New" w:cs="Courier New" w:eastAsia="Courier New" w:hAnsi="Courier New"/>
          <w:sz w:val="16"/>
          <w:szCs w:val="16"/>
          <w:color w:val="auto"/>
        </w:rPr>
      </w:pPr>
    </w:p>
    <w:p>
      <w:pPr>
        <w:ind w:left="2" w:right="2399" w:firstLine="975"/>
        <w:spacing w:after="0" w:line="249" w:lineRule="auto"/>
        <w:tabs>
          <w:tab w:leader="none" w:pos="1468"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issued shares of capital stock of each Principal Subsidiary have been duly and validly authorized and issued, are fully paid and nonassessable, and are owned of record directly or indirectly by the Company, AIC or ALIC, as the case may be, free and clear of any perfected security interest and, to the knowledge of such counsel, after due inquiry, any other security interest, claim, lien or encumbrance (such counsel being entitled to rely, with respect to the opinion in this clause (ii), upon opinions of local or in-house counsel and, in respect of matters of fact, upon certificates of officers of the Company or its subsidiaries, provided that such counsel shall state that he believes that both you and he are justified in relying upon such opinions or certificates);</w:t>
      </w:r>
    </w:p>
    <w:p>
      <w:pPr>
        <w:spacing w:after="0" w:line="186" w:lineRule="exact"/>
        <w:rPr>
          <w:rFonts w:ascii="Courier New" w:cs="Courier New" w:eastAsia="Courier New" w:hAnsi="Courier New"/>
          <w:sz w:val="16"/>
          <w:szCs w:val="16"/>
          <w:color w:val="auto"/>
        </w:rPr>
      </w:pPr>
    </w:p>
    <w:p>
      <w:pPr>
        <w:ind w:left="2" w:right="2399" w:firstLine="975"/>
        <w:spacing w:after="0" w:line="249" w:lineRule="auto"/>
        <w:tabs>
          <w:tab w:leader="none" w:pos="1566"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Principal Subsidiary is duly licensed or authorized as an insurer or reinsurer in each other jurisdiction where it is required to be so licensed, except where the failure to be so licensed or authorized in any such jurisdiction does not have a material adverse effect on the financial condition, business or properties of the Company and its subsidiaries taken as a whole; the Company and each Principal Subsidiary have made all required filings under applicable insurance holding company statutes, and each is duly licensed or authorized as an insurance holding company in each jurisdiction where it is required to be so licensed, except where the failure to have made such filings or to be so licensed or authorized in any such jurisdiction does not have a material adverse effect on the financial condition, business or properties of the Company and its subsidiaries taken as a whole; the Company and each Principal Subsidiary have all necessary authorizations, approvals, orders, consents, registrations or</w:t>
      </w:r>
    </w:p>
    <w:p>
      <w:pPr>
        <w:spacing w:after="0" w:line="186"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242"/>
          </w:cols>
          <w:pgMar w:left="1218" w:top="868" w:right="1440" w:bottom="1440" w:gutter="0" w:footer="0" w:header="0"/>
        </w:sectPr>
      </w:pPr>
    </w:p>
    <w:bookmarkStart w:id="15" w:name="page16"/>
    <w:bookmarkEnd w:id="15"/>
    <w:p>
      <w:pPr>
        <w:ind w:right="2399"/>
        <w:spacing w:after="0" w:line="249" w:lineRule="auto"/>
        <w:rPr>
          <w:sz w:val="20"/>
          <w:szCs w:val="20"/>
          <w:color w:val="auto"/>
        </w:rPr>
      </w:pPr>
      <w:r>
        <w:rPr>
          <w:rFonts w:ascii="Courier New" w:cs="Courier New" w:eastAsia="Courier New" w:hAnsi="Courier New"/>
          <w:sz w:val="16"/>
          <w:szCs w:val="16"/>
          <w:color w:val="auto"/>
        </w:rPr>
        <w:t>qualifications of and from all insurance regulatory authorities to conduct their respective businesses as described in the Final Prospectus as amended or supplemented, except where the failure to have such authorizations, approvals, orders, consents, registrations or qualifications does not have a material adverse effect on the financial condition, business or properties of the Company and its subsidiaries taken as a whole; and none of the Company or any Principal Subsidiary has received any notification from any insurance regulatory authority to the effect that any additional authorization, approval, order, consent, registration or qualification from such insurance regulatory authority is needed to be obtained by any of the Company or any Principal Subsidiary in any case where it could be reasonably expected that (x) the Company or any Principal Subsidiary would in fact be required either to obtain any such additional authorization, approval, order, consent, registration or qualification or cease or otherwise limit writing certain business and (y) obtaining such authorization, approval, order, consent, license, certificate, permit, registration or qualification or limiting such business would have a material adverse effect on the business, financial position or results of operations of the Company and its subsidiaries, taken as a whole (such counsel being entitled to rely, with respect to the opinion in this clause (iii), upon opinions of local or in-house counsel and, in respect of matters of fact, upon certificates of officers of the Company or its subsidiaries, provided that such counsel shall state that he believes that both you and he are justified in relying upon such opinions and certificates);</w:t>
      </w:r>
    </w:p>
    <w:p>
      <w:pPr>
        <w:spacing w:after="0" w:line="186" w:lineRule="exact"/>
        <w:rPr>
          <w:sz w:val="20"/>
          <w:szCs w:val="20"/>
          <w:color w:val="auto"/>
        </w:rPr>
      </w:pPr>
    </w:p>
    <w:p>
      <w:pPr>
        <w:ind w:right="2499" w:firstLine="975"/>
        <w:spacing w:after="0" w:line="249" w:lineRule="auto"/>
        <w:tabs>
          <w:tab w:leader="none" w:pos="146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after due inquiry, each Principal Subsidiary is in compliance with the requirements of the insurance laws and regulations of its state of incorporation and the insurance laws and regulations of other jurisdictions which are applicable to such Principal Subsidiary, and has filed all notices, reports, documents or other information required to be filed thereunder, or is subject to no material liability or disability by reason of the failure to so comply or file (such counsel being entitled to rely, with respect to this clause (iv), upon opinions of local or in-house counsel and, in respect of matters of fact, upon certificates of officers of the Company or its subsidiaries, provided that such counsel shall state that he believes that both you and he are justified in relying upon such opinions and certificates);</w:t>
      </w:r>
    </w:p>
    <w:p>
      <w:pPr>
        <w:spacing w:after="0" w:line="186" w:lineRule="exact"/>
        <w:rPr>
          <w:rFonts w:ascii="Courier New" w:cs="Courier New" w:eastAsia="Courier New" w:hAnsi="Courier New"/>
          <w:sz w:val="16"/>
          <w:szCs w:val="16"/>
          <w:color w:val="auto"/>
        </w:rPr>
      </w:pPr>
    </w:p>
    <w:p>
      <w:pPr>
        <w:ind w:right="2399" w:firstLine="975"/>
        <w:spacing w:after="0" w:line="249" w:lineRule="auto"/>
        <w:tabs>
          <w:tab w:leader="none" w:pos="136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after due inquiry, and other than as set forth in the Final Prospectus as amended or supplemented, there are no legal or governmental proceedings pending to which the Company or any of its subsidiaries is a party or to which any property of the Company or any of its subsidiaries is the subject which, if determined adversely to the Company or any of its subsidiaries, individually or in the aggregate, could reasonably be expected to have a material adverse effect on the financial condition, business or properties of the Company and its subsidiaries taken as a whole; and, to the best of such counsel's knowledge, no such proceedings are threatened;</w:t>
      </w:r>
    </w:p>
    <w:p>
      <w:pPr>
        <w:spacing w:after="0" w:line="186" w:lineRule="exact"/>
        <w:rPr>
          <w:rFonts w:ascii="Courier New" w:cs="Courier New" w:eastAsia="Courier New" w:hAnsi="Courier New"/>
          <w:sz w:val="16"/>
          <w:szCs w:val="16"/>
          <w:color w:val="auto"/>
        </w:rPr>
      </w:pPr>
    </w:p>
    <w:p>
      <w:pPr>
        <w:ind w:right="2399" w:firstLine="975"/>
        <w:spacing w:after="0" w:line="249" w:lineRule="auto"/>
        <w:tabs>
          <w:tab w:leader="none" w:pos="146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and sale of the Securities and the performance by the Company of its obligations under the Indenture, the Securities and this Agreement and the consummation by the Company of the transactions contemplated therein and herein will not conflict with or result in a breach of any of the terms or provisions of, or constitute a default under, any indenture, mortgage, deed of trust, loan agreement or other material agreement or instrument relating to the Company or any of its subsidiaries, as such agreements or instruments have been amended (which indentures, mortgages, deeds of trust, loan agreements or other agreements or instruments may be specified by such counsel on a schedule attached to his opinion); nor will any such action result in any violation of the provisions of the Certificate of Incorporation or the Bylaws of the Company or any of its Principal Subsidiaries or any applicable United States law or statute or any order, rule or regulation of any United States court or governmental agency or body having jurisdiction over the Company, its subsidiaries or any of their respective</w:t>
      </w:r>
    </w:p>
    <w:p>
      <w:pPr>
        <w:spacing w:after="0" w:line="18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239"/>
          </w:cols>
          <w:pgMar w:left="1220" w:top="680" w:right="1440" w:bottom="1440" w:gutter="0" w:footer="0" w:header="0"/>
        </w:sectPr>
      </w:pPr>
    </w:p>
    <w:bookmarkStart w:id="16" w:name="page17"/>
    <w:bookmarkEnd w:id="16"/>
    <w:p>
      <w:pPr>
        <w:ind w:left="2" w:right="2399"/>
        <w:spacing w:after="0" w:line="248" w:lineRule="auto"/>
        <w:rPr>
          <w:sz w:val="20"/>
          <w:szCs w:val="20"/>
          <w:color w:val="auto"/>
        </w:rPr>
      </w:pPr>
      <w:r>
        <w:rPr>
          <w:rFonts w:ascii="Courier New" w:cs="Courier New" w:eastAsia="Courier New" w:hAnsi="Courier New"/>
          <w:sz w:val="16"/>
          <w:szCs w:val="16"/>
          <w:color w:val="auto"/>
        </w:rPr>
        <w:t>properties, provided, that the foregoing opinion is limited to those statutes, laws, rules and regulations of the United States of America, the General Corporation Law of the State of Delaware and the State of Illinois, in each case, which, in the opinion of such counsel, are normally applicable to transactions of the type contemplated by this Agreement, and provided further, that no opinion need be given with respect to (A) the Act, the Exchange Act, the Trust Indenture Act, the rules and regulations issued pursuant to each such act, any order, rule or regulation made or established by any insurance official or regulatory authority or the National Association of Securities Dealers, Inc., or state securities or Blue Sky laws in connection with the purchase and distribution of the Securities by the Underwriters or</w:t>
      </w:r>
    </w:p>
    <w:p>
      <w:pPr>
        <w:spacing w:after="0" w:line="8" w:lineRule="exact"/>
        <w:rPr>
          <w:sz w:val="20"/>
          <w:szCs w:val="20"/>
          <w:color w:val="auto"/>
        </w:rPr>
      </w:pPr>
    </w:p>
    <w:p>
      <w:pPr>
        <w:ind w:left="2" w:right="2499" w:hanging="2"/>
        <w:spacing w:after="0" w:line="249" w:lineRule="auto"/>
        <w:tabs>
          <w:tab w:leader="none" w:pos="3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conflicts, breaches or violations which individually and in the aggregate both would not have a material adverse effect on the financial condition, business or operations of the Company and its subsidiaries taken as a whole and would not have a material adverse effect on the sale or ownership of the Securities (such counsel being entitled to rely, with respect to the opinion in this clause (vi), upon opinions of local or in-house counsel and, in respect of matters of fact, upon certificates of officers of the Company or its subsidiaries, provided that such counsel shall state that he believes that both you and he are justified in relying upon such opinions and certificates);</w:t>
      </w:r>
    </w:p>
    <w:p>
      <w:pPr>
        <w:spacing w:after="0" w:line="186" w:lineRule="exact"/>
        <w:rPr>
          <w:rFonts w:ascii="Courier New" w:cs="Courier New" w:eastAsia="Courier New" w:hAnsi="Courier New"/>
          <w:sz w:val="16"/>
          <w:szCs w:val="16"/>
          <w:color w:val="auto"/>
        </w:rPr>
      </w:pPr>
    </w:p>
    <w:p>
      <w:pPr>
        <w:ind w:left="2" w:right="2399" w:firstLine="975"/>
        <w:spacing w:after="0" w:line="249" w:lineRule="auto"/>
        <w:tabs>
          <w:tab w:leader="none" w:pos="156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United States court or governmental agency or body is required for the issue and sale of the Securities by the Company or the consummation by the Company of the transactions contemplated by this Agreement, except that such counsel need not express any opinion with respect to such consents, approvals, authorizations, orders, registrations or qualifications (A) as may be required under the Act, the Exchange Act, the Trust Indenture Act, the rules and regulations issued pursuant to each such act, any order, rule or regulation made or established by any insurance official or regulatory authority or the National Association of Securities Dealers, Inc., (B) as may be required under state securities or Blue Sky laws in connection with the purchase and distribution of the Securities by the Underwriters, (C) the absence of which individually or in the aggregate both are not material to the Company and its subsidiaries taken as a whole and would not have a material adverse effect on the sale or ownership of the Securities or (D) as may be required under foreign laws in connection with the purchase and distribution of the Securities by any international managers; provided, that the foregoing opinion is limited to those consents, approvals, authorizations, orders, registrations and qualifications under laws which, in the experience of such counsel, are normally applicable to transactions of the type contemplated by this Agreement;</w:t>
      </w:r>
    </w:p>
    <w:p>
      <w:pPr>
        <w:spacing w:after="0" w:line="185" w:lineRule="exact"/>
        <w:rPr>
          <w:rFonts w:ascii="Courier New" w:cs="Courier New" w:eastAsia="Courier New" w:hAnsi="Courier New"/>
          <w:sz w:val="16"/>
          <w:szCs w:val="16"/>
          <w:color w:val="auto"/>
        </w:rPr>
      </w:pPr>
    </w:p>
    <w:p>
      <w:pPr>
        <w:ind w:left="2" w:right="2399" w:firstLine="975"/>
        <w:spacing w:after="0" w:line="249" w:lineRule="auto"/>
        <w:tabs>
          <w:tab w:leader="none" w:pos="166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after due inquiry, the Company and its subsidiaries, as applicable, have filed all notices, reports, documents or other information required to be filed pursuant to, and have obtained all authorizations, approvals, orders, consents, registrations or qualifications required to be obtained under, and have otherwise complied with all requirements of, all applicable insurance laws and regulations known to such counsel to be normally applicable to the transactions contemplated by this Agreement in connection with the issuance and sale by the Company of the Securities and, except as have been obtained pursuant to the foregoing clause, no filing, authorization, approval, order, consent, registration or qualification of or</w:t>
      </w:r>
    </w:p>
    <w:p>
      <w:pPr>
        <w:spacing w:after="0" w:line="375"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242"/>
          </w:cols>
          <w:pgMar w:left="1218" w:top="868" w:right="1440" w:bottom="1440" w:gutter="0" w:footer="0" w:header="0"/>
        </w:sectPr>
      </w:pPr>
    </w:p>
    <w:bookmarkStart w:id="17" w:name="page18"/>
    <w:bookmarkEnd w:id="17"/>
    <w:p>
      <w:pPr>
        <w:ind w:right="2399"/>
        <w:spacing w:after="0" w:line="249" w:lineRule="auto"/>
        <w:rPr>
          <w:sz w:val="20"/>
          <w:szCs w:val="20"/>
          <w:color w:val="auto"/>
        </w:rPr>
      </w:pPr>
      <w:r>
        <w:rPr>
          <w:rFonts w:ascii="Courier New" w:cs="Courier New" w:eastAsia="Courier New" w:hAnsi="Courier New"/>
          <w:sz w:val="16"/>
          <w:szCs w:val="16"/>
          <w:color w:val="auto"/>
        </w:rPr>
        <w:t>with any insurance regulatory agency having jurisdiction over the Company or any of its subsidiaries or any of their properties known to such counsel to be normally applicable to the transactions contemplated by this Agreement or the Indenture is required for the issue and sale of the Securities or the consummation by the Company of the transactions contemplated by this Agreement, except such filings, authorizations, approvals, orders, consents, registrations or qualifications which (individually or in the aggregate) the failure to make, obtain or comply with would not have a material adverse effect on the financial condition, business or properties of the Company and its subsidiaries taken as a whole or a material adverse effect on the sale or ownership of the Securities;</w:t>
      </w:r>
    </w:p>
    <w:p>
      <w:pPr>
        <w:spacing w:after="0" w:line="187" w:lineRule="exact"/>
        <w:rPr>
          <w:sz w:val="20"/>
          <w:szCs w:val="20"/>
          <w:color w:val="auto"/>
        </w:rPr>
      </w:pPr>
    </w:p>
    <w:p>
      <w:pPr>
        <w:ind w:right="2399" w:firstLine="975"/>
        <w:spacing w:after="0" w:line="249" w:lineRule="auto"/>
        <w:tabs>
          <w:tab w:leader="none" w:pos="146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after due inquiry, there are no material contracts, agreements or understandings between the Company and any person granting such person the right to require the Company to file a registration statement under the Act with respect to any notes or debt of the Company owned or to be owned by such person or to require the Company to include such securities for registration pursuant to the Registration Statement or pursuant to any other registration statement filed by the Company under the Act.</w:t>
      </w:r>
    </w:p>
    <w:p>
      <w:pPr>
        <w:spacing w:after="0" w:line="187" w:lineRule="exact"/>
        <w:rPr>
          <w:rFonts w:ascii="Courier New" w:cs="Courier New" w:eastAsia="Courier New" w:hAnsi="Courier New"/>
          <w:sz w:val="16"/>
          <w:szCs w:val="16"/>
          <w:color w:val="auto"/>
        </w:rPr>
      </w:pPr>
    </w:p>
    <w:p>
      <w:pPr>
        <w:ind w:right="2399" w:firstLine="975"/>
        <w:spacing w:after="0" w:line="248" w:lineRule="auto"/>
        <w:tabs>
          <w:tab w:leader="none" w:pos="136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general counsel to the Company, such counsel reviewed the Registration Statement and Final Prospectus as amended or supplemented, participated in various discussions with representatives of the Underwriters and of the Company and its accountants at which contents of the Registration Statement and Final Prospectus as amended or supplemented were discussed; on the basis of the information that such counsel gained in the course of his activities referred to above and as general counsel, such counsel confirms that the Registration Statement, as of its effective date, and the Final Prospectus, as amended or supplemented (in each case other than with respect to the financial statements, financial and accounting data and related schedules incorporated by reference or included therein or excluded therefrom, as to which such counsel need express no opinion or belief), appear on their face to be appropriately responsive in all material respects to the requirements of the Act and the applicable rules and regulations of the Commission thereunder; and, although such counsel is not passing upon and does not assume any responsibility for the accuracy, completeness or fairness of the statements contained in the Registration Statement and Final Prospectus as amended or supplemented (except as expressly set forth in such opinion), on the basis of the foregoing, no facts have come to the attention of such counsel in the course of such review which has caused such counsel to believe that, as of its effective date, the Registration Statement or any further amendment thereto made by the Company prior to such Time of Delivery (other than the financial statements and financial and accounting data and related schedules incorporated by reference or included therein or excluded therefrom or the exhibits to the Registration Statement, including the Form T-1, and other than information under the captions "Description of Debt Securities," "Description of Debt Warrants," "Description of Preferred Stock," "Description of Preferred Securities," "Description of Preferred Securities Guarantees" and "Plan of Distribution" in the Basic Prospectus and under the captions "Description of the Notes" and "Underwriting" contained in the Final Prospectus as amended or supplemented, as to which such counsel need express no opinion) contained an untrue statement of a material fact or omitted to state a material fact required to be stated therein or necessary to make the statements therein not misleading or that, as of its date, the Final Prospectus as amended or supplemented or any further amendment or supplement thereto made by the Company prior to such Time of Delivery (other than the financial statements and financial and accounting data and related schedules incorporated by reference or included therein or excluded therefrom or the exhibits to the Registration Statement, including the Form T-1, and other than information under the captions "Description of Debt Securities," "Description of Debt Warrants," "Description of Preferred Stock," "Description of Preferred Securities," "Description of Preferred Securities Guarantees" and "Plan of Distribution" in the Basic Prospectus and under the captions "Description of the Notes" and "Underwriting" contained in the Final Prospectus as amended or supplemented, as to which such counsel need express no opinion) contained an untrue statement of a material fact or omitted to state a material fact required to be stated therein or necessary to make the statements</w:t>
      </w:r>
    </w:p>
    <w:p>
      <w:pPr>
        <w:spacing w:after="0" w:line="22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239"/>
          </w:cols>
          <w:pgMar w:left="1220" w:top="680" w:right="1440" w:bottom="1127" w:gutter="0" w:footer="0" w:header="0"/>
        </w:sectPr>
      </w:pPr>
    </w:p>
    <w:bookmarkStart w:id="18" w:name="page19"/>
    <w:bookmarkEnd w:id="18"/>
    <w:p>
      <w:pPr>
        <w:ind w:right="2399"/>
        <w:spacing w:after="0" w:line="248" w:lineRule="auto"/>
        <w:rPr>
          <w:sz w:val="20"/>
          <w:szCs w:val="20"/>
          <w:color w:val="auto"/>
        </w:rPr>
      </w:pPr>
      <w:r>
        <w:rPr>
          <w:rFonts w:ascii="Courier New" w:cs="Courier New" w:eastAsia="Courier New" w:hAnsi="Courier New"/>
          <w:sz w:val="16"/>
          <w:szCs w:val="16"/>
          <w:color w:val="auto"/>
        </w:rPr>
        <w:t>therein not misleading or that, as of the Time of Delivery, either the Registration Statement or the Final Prospectus as amended or supplemented or any further amendment or supplement (when considered together with the document to which such supplement relates) thereto made by the Company prior to such Time of Delivery (other than the financial statements and financial and accounting data and related schedules incorporated by reference or included therein or excluded therefrom or the exhibits to the Registration Statement, including the Form T-1, and other than information under the captions "Description of Debt Securities," "Description of Debt Warrants," "Description of Preferred Stock," "Description of Preferred Securities," "Description of Preferred Securities Guarantees" and "Plan of Distribution" in the Basic Prospectus and under the captions "Description of the Notes" and "Underwriting" contained in the Final Prospectus as amended or supplemented, as to which such counsel need express no opinion) contains an untrue statement of a material fact or omits to state a material fact necessary to make the statements therein, in the light of the circumstances under which they were made, not misleading; and he does not know of any amendment to the Registration Statement required to be filed or of any contracts or other documents of a character required to be filed as an exhibit to the Registration Statement or required to be incorporated by reference into the Final Prospectus as amended or supplemented or required to be described in the Registration Statement or the Final Prospectus as amended or supplemented which are not filed or described as required, in each case, other than with respect to the information under the captions "Description of Debt Securities," "Description of Debt Warrants," "Description of Preferred Stock," "Description of Preferred Securities," "Description of Preferred Securities Guarantees" and "Plan of Distribution" in the Basic Prospectus and under the captions "Description of the Notes" and "Underwriting" contained in the Final Prospectus as amended or supplemented; and</w:t>
      </w:r>
    </w:p>
    <w:p>
      <w:pPr>
        <w:spacing w:after="0" w:line="209" w:lineRule="exact"/>
        <w:rPr>
          <w:sz w:val="20"/>
          <w:szCs w:val="20"/>
          <w:color w:val="auto"/>
        </w:rPr>
      </w:pPr>
    </w:p>
    <w:p>
      <w:pPr>
        <w:ind w:right="2499" w:firstLine="975"/>
        <w:spacing w:after="0" w:line="249" w:lineRule="auto"/>
        <w:tabs>
          <w:tab w:leader="none" w:pos="146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the information that such counsel gained in the course of the review referred to in paragraph (x) above and as general counsel (but without passing upon or assuming any responsibility for the accuracy, completeness or fairness of the statements contained in the documents described below), such counsel confirms that no facts have come to the attention of such counsel in the course of such review which have caused such counsel to believe that the documents incorporated by reference in the Final Prospectus as amended or supplemented (other than the financial statements and financial and accounting data and related schedules incorporated by reference or included therein or excluded therefrom, as to which such counsel need express no opinion), when they</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239"/>
          </w:cols>
          <w:pgMar w:left="1220" w:top="868" w:right="1440" w:bottom="1440" w:gutter="0" w:footer="0" w:header="0"/>
        </w:sectPr>
      </w:pPr>
    </w:p>
    <w:bookmarkStart w:id="19" w:name="page20"/>
    <w:bookmarkEnd w:id="19"/>
    <w:p>
      <w:pPr>
        <w:ind w:left="2" w:right="2399"/>
        <w:spacing w:after="0" w:line="249" w:lineRule="auto"/>
        <w:rPr>
          <w:sz w:val="20"/>
          <w:szCs w:val="20"/>
          <w:color w:val="auto"/>
        </w:rPr>
      </w:pPr>
      <w:r>
        <w:rPr>
          <w:rFonts w:ascii="Courier New" w:cs="Courier New" w:eastAsia="Courier New" w:hAnsi="Courier New"/>
          <w:sz w:val="16"/>
          <w:szCs w:val="16"/>
          <w:color w:val="auto"/>
        </w:rPr>
        <w:t>became effective or were filed with the Commission, as the case may be, did not comply as to form in all material respects with the requirements of the Act or the Exchange Act, as applicable, and the rules and regulations of the Commission thereunder; and he has no reason to believe that any of such documents, when they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that were filed under the Act or the Exchange Act with the Commission, an untrue statement of a material fact or omitted to state a material fact necessary to make the statements therein, in light of the circumstances under which they were made not misleading.</w:t>
      </w:r>
    </w:p>
    <w:p>
      <w:pPr>
        <w:spacing w:after="0" w:line="187" w:lineRule="exact"/>
        <w:rPr>
          <w:sz w:val="20"/>
          <w:szCs w:val="20"/>
          <w:color w:val="auto"/>
        </w:rPr>
      </w:pPr>
    </w:p>
    <w:p>
      <w:pPr>
        <w:ind w:left="-978" w:right="2499" w:firstLine="978"/>
        <w:spacing w:after="0" w:line="249"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from Willkie Farr &amp; Gallagher, counsel for the Underwriters, such opinion or opinions, dated the Time of Delivery and addressed to the Representatives, with respect to the issuance and sale of the Securities, the Final Prospectus as amended and supplemented and other related matters as the Representatives may reasonably require, and the Company shall have furnished to such counsel such documents as they request for this purpose of enabling them to pass upon such matters.</w:t>
      </w:r>
    </w:p>
    <w:p>
      <w:pPr>
        <w:spacing w:after="0" w:line="187" w:lineRule="exact"/>
        <w:rPr>
          <w:rFonts w:ascii="Courier New" w:cs="Courier New" w:eastAsia="Courier New" w:hAnsi="Courier New"/>
          <w:sz w:val="16"/>
          <w:szCs w:val="16"/>
          <w:color w:val="auto"/>
        </w:rPr>
      </w:pPr>
    </w:p>
    <w:p>
      <w:pPr>
        <w:ind w:left="-978" w:right="2399" w:firstLine="978"/>
        <w:spacing w:after="0" w:line="249"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to the Representatives a certificate of the Company, signed by the Chairman of the Board, Chief Executive Officer, President, Chief Operating Officer, Chief Financial Officer, Secretary, General Counsel or Treasurer of the Company, dated the Time of Delivery, to the effect that the signatory of such certificate has carefully examined the Registration Statement, the Final Prospectus and amendments and supplements thereto and this Agreement and that:</w:t>
      </w:r>
    </w:p>
    <w:p>
      <w:pPr>
        <w:spacing w:after="0" w:line="187" w:lineRule="exact"/>
        <w:rPr>
          <w:rFonts w:ascii="Courier New" w:cs="Courier New" w:eastAsia="Courier New" w:hAnsi="Courier New"/>
          <w:sz w:val="16"/>
          <w:szCs w:val="16"/>
          <w:color w:val="auto"/>
        </w:rPr>
      </w:pPr>
    </w:p>
    <w:p>
      <w:pPr>
        <w:ind w:left="2" w:right="2399" w:firstLine="975"/>
        <w:spacing w:after="0" w:line="249" w:lineRule="auto"/>
        <w:tabs>
          <w:tab w:leader="none" w:pos="137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in this Agreement are true and correct on and as of the Time of Delivery with the same effect as if made on the Time of Delivery and the Company has complied with all agreements and satisfied all the conditions on its part to be performed or satisfied at or prior to the Time of Delivery;</w:t>
      </w:r>
    </w:p>
    <w:p>
      <w:pPr>
        <w:spacing w:after="0" w:line="187" w:lineRule="exact"/>
        <w:rPr>
          <w:rFonts w:ascii="Courier New" w:cs="Courier New" w:eastAsia="Courier New" w:hAnsi="Courier New"/>
          <w:sz w:val="16"/>
          <w:szCs w:val="16"/>
          <w:color w:val="auto"/>
        </w:rPr>
      </w:pPr>
    </w:p>
    <w:p>
      <w:pPr>
        <w:ind w:left="2" w:right="2799" w:firstLine="975"/>
        <w:spacing w:after="0" w:line="249" w:lineRule="auto"/>
        <w:tabs>
          <w:tab w:leader="none" w:pos="1468"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has been issued and no proceedings for that purpose have been instituted or, to the Company's knowledge, threatened; and</w:t>
      </w:r>
    </w:p>
    <w:p>
      <w:pPr>
        <w:spacing w:after="0" w:line="187" w:lineRule="exact"/>
        <w:rPr>
          <w:rFonts w:ascii="Courier New" w:cs="Courier New" w:eastAsia="Courier New" w:hAnsi="Courier New"/>
          <w:sz w:val="16"/>
          <w:szCs w:val="16"/>
          <w:color w:val="auto"/>
        </w:rPr>
      </w:pPr>
    </w:p>
    <w:p>
      <w:pPr>
        <w:ind w:left="2" w:right="2499" w:firstLine="975"/>
        <w:spacing w:after="0" w:line="249" w:lineRule="auto"/>
        <w:tabs>
          <w:tab w:leader="none" w:pos="156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the Final Prospectus there has occurred no event required to be set forth in an amendment or supplement to the Registration Statement or Final Prospectus, and there has been no document required to be filed under the Act and the rules and regulations thereunder which, upon filing, would be deemed to be incorporated by reference in the Final Prospectus which has not been so filed.</w:t>
      </w:r>
    </w:p>
    <w:p>
      <w:pPr>
        <w:spacing w:after="0" w:line="187" w:lineRule="exact"/>
        <w:rPr>
          <w:rFonts w:ascii="Courier New" w:cs="Courier New" w:eastAsia="Courier New" w:hAnsi="Courier New"/>
          <w:sz w:val="16"/>
          <w:szCs w:val="16"/>
          <w:color w:val="auto"/>
        </w:rPr>
      </w:pPr>
    </w:p>
    <w:p>
      <w:pPr>
        <w:ind w:left="-978" w:right="2499" w:firstLine="978"/>
        <w:spacing w:after="0" w:line="249"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hereof, Deloitte &amp; Touche shall have furnished to the Representatives a letter, dated the date hereof, to the effect set forth in Schedule IV hereto. As of the Time of Delivery, Deloitte &amp; Touche shall have furnished to the Representatives a letter, dated as of the Time of Delivery, reaffirming, as of such date, all of the statements set forth in Schedule IV hereto and otherwise in form and substance satisfactory to the Representatives.</w:t>
      </w:r>
    </w:p>
    <w:p>
      <w:pPr>
        <w:spacing w:after="0" w:line="375"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242"/>
          </w:cols>
          <w:pgMar w:left="1218" w:top="868" w:right="1440" w:bottom="1440" w:gutter="0" w:footer="0" w:header="0"/>
        </w:sectPr>
      </w:pPr>
    </w:p>
    <w:bookmarkStart w:id="20" w:name="page21"/>
    <w:bookmarkEnd w:id="20"/>
    <w:p>
      <w:pPr>
        <w:ind w:right="2399" w:firstLine="978"/>
        <w:spacing w:after="0" w:line="249" w:lineRule="auto"/>
        <w:tabs>
          <w:tab w:leader="none" w:pos="136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effective date of this Agreement, there shall not have been any decrease in the rating of any of the Company's debt securities by any of Moody's Investor Services, Inc. or Standard &amp; Poor's Corporation or any public notice given of any intended or potential decrease in any such rating or of a possible change in any such rating that does not indicate the direction of the possible change.</w:t>
      </w:r>
    </w:p>
    <w:p>
      <w:pPr>
        <w:spacing w:after="0" w:line="187" w:lineRule="exact"/>
        <w:rPr>
          <w:rFonts w:ascii="Courier New" w:cs="Courier New" w:eastAsia="Courier New" w:hAnsi="Courier New"/>
          <w:sz w:val="16"/>
          <w:szCs w:val="16"/>
          <w:color w:val="auto"/>
        </w:rPr>
      </w:pPr>
    </w:p>
    <w:p>
      <w:pPr>
        <w:ind w:right="2599" w:firstLine="978"/>
        <w:spacing w:after="0" w:line="249" w:lineRule="auto"/>
        <w:tabs>
          <w:tab w:leader="none" w:pos="136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or at the Time of Delivery, the Company shall have furnished or shall furnish to the Representatives such additional certificates of officers of the Company as to such other matters as the Representatives may reasonably request.</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cancelled at, or at any time prior to, the Time of Delivery by the Representatives. Notice of such cancellation shall be given to the Company in writing or by telephone or facsimile confirmed in writing.</w:t>
      </w:r>
    </w:p>
    <w:p>
      <w:pPr>
        <w:spacing w:after="0" w:line="187" w:lineRule="exact"/>
        <w:rPr>
          <w:sz w:val="20"/>
          <w:szCs w:val="20"/>
          <w:color w:val="auto"/>
        </w:rPr>
      </w:pPr>
    </w:p>
    <w:p>
      <w:pPr>
        <w:ind w:right="2699" w:firstLine="977"/>
        <w:spacing w:after="0" w:line="249" w:lineRule="auto"/>
        <w:rPr>
          <w:sz w:val="20"/>
          <w:szCs w:val="20"/>
          <w:color w:val="auto"/>
        </w:rPr>
      </w:pPr>
      <w:r>
        <w:rPr>
          <w:rFonts w:ascii="Courier New" w:cs="Courier New" w:eastAsia="Courier New" w:hAnsi="Courier New"/>
          <w:sz w:val="16"/>
          <w:szCs w:val="16"/>
          <w:color w:val="auto"/>
        </w:rPr>
        <w:t>The documents required to be delivered by this Section 7 shall be delivered at the office of Willkie Farr &amp; Gallagher, counsel to the Underwriters, at 787 Seventh Avenue, New York, New York 10019, at the Time of Delivery.</w:t>
      </w:r>
    </w:p>
    <w:p>
      <w:pPr>
        <w:spacing w:after="0" w:line="18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8. Reimbursement of Underwriters' Expenses. If the sale of the</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Securities provided herein is not consummated because any condition to the obligations of the Underwriters set forth in Section 7 (other than Section 7(d)) hereof is not satisfied, because of any termination pursuant to Section 11(i) hereof or because of any refusal, inability or failure by the Company to perform any agreement herein or comply with any provision hereof other than by reason of a default by any of the Underwriters, the Company will reimburse the Underwriters severally through Banc One Capital Markets, Inc. on demand for all reasonable out-of-pocket expenses (including reasonable fees and disbursements of counsel) that shall have been incurred by them in connection with the proposed purchase and sale of the Securities.</w:t>
      </w:r>
    </w:p>
    <w:p>
      <w:pPr>
        <w:spacing w:after="0" w:line="187" w:lineRule="exact"/>
        <w:rPr>
          <w:sz w:val="20"/>
          <w:szCs w:val="20"/>
          <w:color w:val="auto"/>
        </w:rPr>
      </w:pPr>
    </w:p>
    <w:p>
      <w:pPr>
        <w:ind w:left="1280" w:hanging="302"/>
        <w:spacing w:after="0"/>
        <w:tabs>
          <w:tab w:leader="none" w:pos="12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w:t>
      </w:r>
    </w:p>
    <w:p>
      <w:pPr>
        <w:spacing w:after="0" w:line="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978"/>
        <w:spacing w:after="0" w:line="249" w:lineRule="auto"/>
        <w:tabs>
          <w:tab w:leader="none" w:pos="136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(i) such losses, claims, damages or liabilities (or actions in respect thereof) arise out of or are based upon any untrue statement or alleged untrue statement of a material fact contained in the Registration Statement as originally filed or in any amendment thereof, or in the Basic Prospectus, any Preliminary Final Prospectus or the Final Prospectus, or in any amendment thereof or supplement thereto; or (ii) arise out of or are based upon the omission or alleged omission to state therein a material fact required to be stated therein or necessary to make the statements therein not misleading. The Company agrees to reimburse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68" w:right="1440" w:bottom="1440" w:gutter="0" w:footer="0" w:header="0"/>
        </w:sectPr>
      </w:pPr>
    </w:p>
    <w:bookmarkStart w:id="21" w:name="page22"/>
    <w:bookmarkEnd w:id="21"/>
    <w:p>
      <w:pPr>
        <w:ind w:right="2399"/>
        <w:spacing w:after="0" w:line="249" w:lineRule="auto"/>
        <w:rPr>
          <w:sz w:val="20"/>
          <w:szCs w:val="20"/>
          <w:color w:val="auto"/>
        </w:rPr>
      </w:pPr>
      <w:r>
        <w:rPr>
          <w:rFonts w:ascii="Courier New" w:cs="Courier New" w:eastAsia="Courier New" w:hAnsi="Courier New"/>
          <w:sz w:val="16"/>
          <w:szCs w:val="16"/>
          <w:color w:val="auto"/>
        </w:rPr>
        <w:t>each such indemnified party, as incurred, for any legal or other expenses reasonably incurred by them in connection with investigating or defending any such loss, claim, damage, liability or action; provided, however, that the Company will not be liable in any such case arising in connection with this Section 9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specifically for inclusion therein, and, provided, further, that the Company shall not be liable to any Underwriter under the indemnity agreement in this subsection (a) with respect to any Preliminary Final Prospectus, the Final Prospectus or the Final Prospectus as amended or supplemented, as the case may be, to the extent that any such loss, claim, damage or liability of such Underwriter results from the fact such Underwriter sold the Securities to a person to whom there was not sent or given, at or prior to the written confirmation of such sale, a copy of the Final Prospectus or of the Final Prospectus as then amended or supplemented, whichever is most recent, in any case where such delivery is required by the Act if the Company had previously furnished copies thereof to such Underwriter and the loss, claim, damage or liability of such Underwriter results from an untrue statement or omission of a material fact contained in the Preliminary Final Prospectus which was corrected in the Final Prospectus (or the Final Prospectus as amended or supplemented). This indemnity agreement will be in addition to any liability which the Company may otherwise have.</w:t>
      </w:r>
    </w:p>
    <w:p>
      <w:pPr>
        <w:spacing w:after="0" w:line="186" w:lineRule="exact"/>
        <w:rPr>
          <w:sz w:val="20"/>
          <w:szCs w:val="20"/>
          <w:color w:val="auto"/>
        </w:rPr>
      </w:pPr>
    </w:p>
    <w:p>
      <w:pPr>
        <w:ind w:right="2499" w:firstLine="978"/>
        <w:spacing w:after="0" w:line="249" w:lineRule="auto"/>
        <w:tabs>
          <w:tab w:leader="none" w:pos="136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specifically for inclusion in the documents referred to in the foregoing indemnity. This indemnity agreement will be in addition to any liability which any Underwriter may otherwise have. The Company acknowledges that the only information furnished in writing by or on behalf of the several Underwriters for inclusion in any Preliminary Final Prospectus or Final Prospectus is as follows: under the heading "Underwriting" or "Plan of Distribution," (i) the list of Underwriters and their respective participation in the sale of the Securities, (ii) the sentences related to concessions and reallowances, and (iii) the paragraph related to stabilization, syndicate covering transactions and penalty bids in any Preliminary Final Prospectus and the Final Prospectus.</w:t>
      </w:r>
    </w:p>
    <w:p>
      <w:pPr>
        <w:spacing w:after="0" w:line="186"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22" w:name="page23"/>
    <w:bookmarkEnd w:id="22"/>
    <w:p>
      <w:pPr>
        <w:ind w:right="2499"/>
        <w:spacing w:after="0" w:line="249" w:lineRule="auto"/>
        <w:rPr>
          <w:sz w:val="20"/>
          <w:szCs w:val="20"/>
          <w:color w:val="auto"/>
        </w:rPr>
      </w:pPr>
      <w:r>
        <w:rPr>
          <w:rFonts w:ascii="Courier New" w:cs="Courier New" w:eastAsia="Courier New" w:hAnsi="Courier New"/>
          <w:sz w:val="16"/>
          <w:szCs w:val="16"/>
          <w:color w:val="auto"/>
        </w:rPr>
        <w:t>the indemnified party or parties except as set forth below) and to participate in and assume the defense of the claim associated with such action;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186" w:lineRule="exact"/>
        <w:rPr>
          <w:sz w:val="20"/>
          <w:szCs w:val="20"/>
          <w:color w:val="auto"/>
        </w:rPr>
      </w:pPr>
    </w:p>
    <w:p>
      <w:pPr>
        <w:ind w:right="2399" w:firstLine="978"/>
        <w:spacing w:after="0" w:line="248" w:lineRule="auto"/>
        <w:tabs>
          <w:tab w:leader="none" w:pos="136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indemnity provided in paragraph (a) or (b) of this Section 9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same) (collectively "Losses") to which the Company and one or more of the Underwriters may be subject in such proportion as is appropriate to reflect the relative benefits received by the Company, on the one hand, and by the Underwriters, on the other, from the offering of the Securities; provided, however, that in no case shall any Underwriter (except as may be provided in any agreement among underwriters relating to the offering of the Securities) be responsible for any amount in excess of the total price at which the applicable Securities underwritten by it and distributed to the public were offered to the public.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(i) whether any untrue or any alleged untrue statement of a material fact or the omission or alleged omission to state a material fact relates to information provided by the Company, on the one hand, or the Underwriters, on the other; (ii) the intent of the parties and their relative knowledge; (iii) access to information; and (iv) the opportunity to correct or prevent such untrue statement or omission. The Company and the Underwriters agree that it would not be just and</w:t>
      </w:r>
    </w:p>
    <w:p>
      <w:pPr>
        <w:spacing w:after="0" w:line="20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68" w:right="1440" w:bottom="1440" w:gutter="0" w:footer="0" w:header="0"/>
        </w:sectPr>
      </w:pPr>
    </w:p>
    <w:bookmarkStart w:id="23" w:name="page24"/>
    <w:bookmarkEnd w:id="23"/>
    <w:p>
      <w:pPr>
        <w:ind w:right="2399"/>
        <w:spacing w:after="0" w:line="249" w:lineRule="auto"/>
        <w:rPr>
          <w:sz w:val="20"/>
          <w:szCs w:val="20"/>
          <w:color w:val="auto"/>
        </w:rPr>
      </w:pPr>
      <w:r>
        <w:rPr>
          <w:rFonts w:ascii="Courier New" w:cs="Courier New" w:eastAsia="Courier New" w:hAnsi="Courier New"/>
          <w:sz w:val="16"/>
          <w:szCs w:val="16"/>
          <w:color w:val="auto"/>
        </w:rPr>
        <w:t>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87" w:lineRule="exact"/>
        <w:rPr>
          <w:sz w:val="20"/>
          <w:szCs w:val="20"/>
          <w:color w:val="auto"/>
        </w:rPr>
      </w:pPr>
    </w:p>
    <w:p>
      <w:pPr>
        <w:ind w:left="1360" w:hanging="382"/>
        <w:spacing w:after="0"/>
        <w:tabs>
          <w:tab w:leader="none" w:pos="13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Defaulting Underwriters. If any one or more Underwriters shall</w:t>
      </w:r>
    </w:p>
    <w:p>
      <w:pPr>
        <w:spacing w:after="0" w:line="6"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fail to purchase and pay for any of the Securities agreed to be purchased by the Underwriter or Underwriters hereunder and such failure to purchase shall constitute a default in the performance of its obligations under this Agreement, the remaining Underwriters shall be obligated severally to take up and pay for (in the respective proportions which the amount of Securities set forth opposite their names on Schedule II hereto bears to the aggregate amount of Securities set forth opposite the names of all the remaining Underwriters) the Securities which the defaulting Underwriter or Underwriters agreed but failed to purchase; provided, however, that in the event that the aggregate amount of Securities which the defaulting Underwriter or Underwriters agreed but failed to purchase shall exceed 10% of the aggregate amount of Securities set forth on Schedule II hereto, the remaining Underwriters shall have the right to purchase all, but shall not be under any obligation to purchase any, of the Securities, and if such non-defaulting Underwriters do not purchase all the Securities, this Agreement will terminate without any liability to any non-defaulting Underwriter or the Company. In the event of a default by any Underwriter as set forth in this Section 10, the Time of Delivery shall be postponed for such period, not exceeding five Business Days, as the Representatives shall determine in order that the required changes to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6" w:lineRule="exact"/>
        <w:rPr>
          <w:sz w:val="20"/>
          <w:szCs w:val="20"/>
          <w:color w:val="auto"/>
        </w:rPr>
      </w:pPr>
    </w:p>
    <w:p>
      <w:pPr>
        <w:ind w:left="1360" w:hanging="382"/>
        <w:spacing w:after="0"/>
        <w:tabs>
          <w:tab w:leader="none" w:pos="13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is subject to termination in the</w:t>
      </w:r>
    </w:p>
    <w:p>
      <w:pPr>
        <w:spacing w:after="0" w:line="6"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absolute discretion of the Representatives, by notice given to the Company prior to delivery of and payment for the Securities, if at any time prior to such time</w:t>
      </w:r>
    </w:p>
    <w:p>
      <w:pPr>
        <w:spacing w:after="0" w:line="1" w:lineRule="exact"/>
        <w:rPr>
          <w:sz w:val="20"/>
          <w:szCs w:val="20"/>
          <w:color w:val="auto"/>
        </w:rPr>
      </w:pPr>
    </w:p>
    <w:p>
      <w:pPr>
        <w:ind w:right="2399"/>
        <w:spacing w:after="0" w:line="249" w:lineRule="auto"/>
        <w:tabs>
          <w:tab w:leader="none" w:pos="39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in the Company's securities shall have been suspended by the Commission, (ii) trading in securities generally on the New York Stock Exchange shall have been suspended or limited or minimum prices shall have been established on such Exchange, (iii) a banking moratorium shall have been declared either by Federal or New York State authorities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the Final Prospectus (exclusive of any supplements thereto).</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68" w:right="1440" w:bottom="1440" w:gutter="0" w:footer="0" w:header="0"/>
        </w:sectPr>
      </w:pPr>
    </w:p>
    <w:bookmarkStart w:id="24" w:name="page25"/>
    <w:bookmarkEnd w:id="24"/>
    <w:p>
      <w:pPr>
        <w:ind w:left="1360" w:hanging="382"/>
        <w:spacing w:after="0"/>
        <w:tabs>
          <w:tab w:leader="none" w:pos="13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Indemnities to Survive. The respective</w:t>
      </w:r>
    </w:p>
    <w:p>
      <w:pPr>
        <w:spacing w:after="0" w:line="6"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agreements, representations, warranties, indemnities and other statements of the Company or its officers and of the several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9 hereof, and will survive the delivery of and payment for the Securities. The provisions of Section 8 and 9 hereof shall survive the termination or cancellation of this Agreement.</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13. Notices. All communications hereunder will be in writing and</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effective only on receipt, and, if sent to the Representatives, will be mailed, delivered or telefaxed to Banc One Capital Markets, Inc., 1 Bank One Plaza, Chicago, IL 60670, Attention: Attn: Syndicate Desk, 7th Floor (fax no.</w:t>
      </w:r>
    </w:p>
    <w:p>
      <w:pPr>
        <w:spacing w:after="0" w:line="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312-732-3008), with a copy to the General Counsel, Banc One Capital Markets, Inc., 1 Bank One Plaza, Chicago, IL 60670, Attention: General Counsel (fax no. 312-732-5114); or if sent to the Company, will be mailed, delivered or telefaxed to the address of the Company set forth in the Registration Statement, Attention: Secretary.</w:t>
      </w:r>
    </w:p>
    <w:p>
      <w:pPr>
        <w:spacing w:after="0" w:line="187" w:lineRule="exact"/>
        <w:rPr>
          <w:sz w:val="20"/>
          <w:szCs w:val="20"/>
          <w:color w:val="auto"/>
        </w:rPr>
      </w:pPr>
    </w:p>
    <w:p>
      <w:pPr>
        <w:ind w:left="1360" w:hanging="382"/>
        <w:spacing w:after="0"/>
        <w:tabs>
          <w:tab w:leader="none" w:pos="13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will inure to the benefit</w:t>
      </w:r>
    </w:p>
    <w:p>
      <w:pPr>
        <w:spacing w:after="0" w:line="6"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of and be binding upon the parties hereto and their respective successors and the officers, directors, employees, agent and controlling persons referred to in Section 9 hereof, and no other person will have any right or obligation hereunder.</w:t>
      </w:r>
    </w:p>
    <w:p>
      <w:pPr>
        <w:spacing w:after="0" w:line="18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15. Time; 'Business Day'. As used herein, the term `business day'</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shall mean any day other than a Saturday, Sunday or a legal holiday or a day on which banking institutions or trust companies are authorized or obligated by law to close in New York City.</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16. GOVERNING LAW. THIS AGREEMENT AND EACH PRICING AGREEMENT SHALL BE</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GOVERNED BY AND CONSTRUED IN ACCORDANCE WITH THE INTERNAL LAWS OF THE STATE OF NEW YORK.</w:t>
      </w:r>
    </w:p>
    <w:p>
      <w:pPr>
        <w:spacing w:after="0" w:line="183" w:lineRule="exact"/>
        <w:rPr>
          <w:sz w:val="20"/>
          <w:szCs w:val="20"/>
          <w:color w:val="auto"/>
        </w:rPr>
      </w:pPr>
    </w:p>
    <w:p>
      <w:pPr>
        <w:ind w:left="1360" w:hanging="382"/>
        <w:spacing w:after="0"/>
        <w:tabs>
          <w:tab w:leader="none" w:pos="13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by any one or more of</w:t>
      </w:r>
    </w:p>
    <w:p>
      <w:pPr>
        <w:spacing w:after="0" w:line="6"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parties hereto in any number of counterparts, each of which shall be deemed to be an original, but all such counterparts shall together constitute one and the same instrument.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25" w:name="page26"/>
    <w:bookmarkEnd w:id="25"/>
    <w:p>
      <w:pPr>
        <w:ind w:right="2399" w:firstLine="977"/>
        <w:spacing w:after="0" w:line="249"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THE ALLSTATE CORPORATION</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James P. Zils</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tabs>
          <w:tab w:leader="none" w:pos="4760" w:val="left"/>
        </w:tabs>
        <w:rPr>
          <w:sz w:val="20"/>
          <w:szCs w:val="20"/>
          <w:color w:val="auto"/>
        </w:rPr>
      </w:pPr>
      <w:r>
        <w:rPr>
          <w:rFonts w:ascii="Courier New" w:cs="Courier New" w:eastAsia="Courier New" w:hAnsi="Courier New"/>
          <w:sz w:val="16"/>
          <w:szCs w:val="16"/>
          <w:color w:val="auto"/>
        </w:rPr>
        <w:t>Name:</w:t>
        <w:tab/>
        <w:t>James P. Zils</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 Treasurer</w:t>
      </w:r>
    </w:p>
    <w:p>
      <w:pPr>
        <w:spacing w:after="0" w:line="19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The foregoing Agreement is hereby confirmed and accepted as of the date first above written.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ONE CAPITAL MARKETS,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UBS WARBURG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Banc One Capital Markets, Inc.</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Robert Nordlinger</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Name: Robert Nordlinger</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Title: Director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themselves and the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named in Schedule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foregoing Agreement</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56" w:right="1440" w:bottom="1440" w:gutter="0" w:footer="0" w:header="0"/>
        </w:sectPr>
      </w:pPr>
    </w:p>
    <w:bookmarkStart w:id="26" w:name="page27"/>
    <w:bookmarkEnd w:id="26"/>
    <w:p>
      <w:pPr>
        <w:jc w:val="right"/>
        <w:ind w:right="5819"/>
        <w:spacing w:after="0"/>
        <w:rPr>
          <w:sz w:val="20"/>
          <w:szCs w:val="20"/>
          <w:color w:val="auto"/>
        </w:rPr>
      </w:pPr>
      <w:r>
        <w:rPr>
          <w:rFonts w:ascii="Courier New" w:cs="Courier New" w:eastAsia="Courier New" w:hAnsi="Courier New"/>
          <w:sz w:val="16"/>
          <w:szCs w:val="16"/>
          <w:color w:val="auto"/>
        </w:rPr>
        <w:t>SCHEDULE 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One Capital Markets,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UBS Warburg LLC</w:t>
      </w:r>
    </w:p>
    <w:p>
      <w:pPr>
        <w:sectPr>
          <w:pgSz w:w="11900" w:h="16838" w:orient="portrait"/>
          <w:cols w:equalWidth="0" w:num="1">
            <w:col w:w="10219"/>
          </w:cols>
          <w:pgMar w:left="240" w:top="1244" w:right="1440" w:bottom="1440" w:gutter="0" w:footer="0" w:header="0"/>
        </w:sectPr>
      </w:pPr>
    </w:p>
    <w:bookmarkStart w:id="27" w:name="page28"/>
    <w:bookmarkEnd w:id="27"/>
    <w:p>
      <w:pPr>
        <w:ind w:left="3420"/>
        <w:spacing w:after="0"/>
        <w:rPr>
          <w:sz w:val="20"/>
          <w:szCs w:val="20"/>
          <w:color w:val="auto"/>
        </w:rPr>
      </w:pPr>
      <w:r>
        <w:rPr>
          <w:rFonts w:ascii="Courier New" w:cs="Courier New" w:eastAsia="Courier New" w:hAnsi="Courier New"/>
          <w:sz w:val="16"/>
          <w:szCs w:val="16"/>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20"/>
                <w:szCs w:val="20"/>
                <w:color w:val="auto"/>
              </w:rPr>
            </w:pPr>
            <w:r>
              <w:rPr>
                <w:rFonts w:ascii="Courier New" w:cs="Courier New" w:eastAsia="Courier New" w:hAnsi="Courier New"/>
                <w:sz w:val="16"/>
                <w:szCs w:val="16"/>
                <w:color w:val="auto"/>
              </w:rPr>
              <w:t>Underwriters</w:t>
            </w:r>
          </w:p>
        </w:tc>
        <w:tc>
          <w:tcPr>
            <w:tcW w:w="30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Principal Amount of</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080" w:type="dxa"/>
            <w:vAlign w:val="bottom"/>
          </w:tcPr>
          <w:p>
            <w:pPr>
              <w:jc w:val="right"/>
              <w:spacing w:after="0"/>
              <w:rPr>
                <w:sz w:val="20"/>
                <w:szCs w:val="20"/>
                <w:color w:val="auto"/>
              </w:rPr>
            </w:pPr>
            <w:r>
              <w:rPr>
                <w:rFonts w:ascii="Courier New" w:cs="Courier New" w:eastAsia="Courier New" w:hAnsi="Courier New"/>
                <w:sz w:val="16"/>
                <w:szCs w:val="16"/>
                <w:color w:val="auto"/>
              </w:rPr>
              <w:t>Securities to be Purchased</w:t>
            </w:r>
          </w:p>
        </w:tc>
      </w:tr>
      <w:tr>
        <w:trPr>
          <w:trHeight w:val="188"/>
        </w:trPr>
        <w:tc>
          <w:tcPr>
            <w:tcW w:w="7280" w:type="dxa"/>
            <w:vAlign w:val="bottom"/>
          </w:tcPr>
          <w:p>
            <w:pPr>
              <w:spacing w:after="0"/>
              <w:rPr>
                <w:sz w:val="16"/>
                <w:szCs w:val="16"/>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376"/>
        </w:trPr>
        <w:tc>
          <w:tcPr>
            <w:tcW w:w="7280" w:type="dxa"/>
            <w:vAlign w:val="bottom"/>
          </w:tcPr>
          <w:p>
            <w:pPr>
              <w:spacing w:after="0"/>
              <w:rPr>
                <w:sz w:val="20"/>
                <w:szCs w:val="20"/>
                <w:color w:val="auto"/>
              </w:rPr>
            </w:pPr>
            <w:r>
              <w:rPr>
                <w:rFonts w:ascii="Courier New" w:cs="Courier New" w:eastAsia="Courier New" w:hAnsi="Courier New"/>
                <w:sz w:val="16"/>
                <w:szCs w:val="16"/>
                <w:color w:val="auto"/>
              </w:rPr>
              <w:t>Banc One Capital Markets, Inc..........................................</w:t>
            </w:r>
          </w:p>
        </w:tc>
        <w:tc>
          <w:tcPr>
            <w:tcW w:w="3080" w:type="dxa"/>
            <w:vAlign w:val="bottom"/>
          </w:tcPr>
          <w:p>
            <w:pPr>
              <w:ind w:left="340"/>
              <w:spacing w:after="0"/>
              <w:rPr>
                <w:sz w:val="20"/>
                <w:szCs w:val="20"/>
                <w:color w:val="auto"/>
              </w:rPr>
            </w:pPr>
            <w:r>
              <w:rPr>
                <w:rFonts w:ascii="Courier New" w:cs="Courier New" w:eastAsia="Courier New" w:hAnsi="Courier New"/>
                <w:sz w:val="16"/>
                <w:szCs w:val="16"/>
                <w:color w:val="auto"/>
              </w:rPr>
              <w:t>$ 100,000,000</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UBS Warburg LLC........................................................</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$ 50,000,000</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Banc of America Securities LLC.........................................</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$ 20,000,000</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Goldman, Sachs &amp; Co. ..................................................</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$ 20,000,000</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J.P. Morgan Securities Inc. ...........................................</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$ 20,000,000</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Lehman Brothers Inc. ..................................................</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$ 20,000,000</w:t>
            </w:r>
          </w:p>
        </w:tc>
      </w:tr>
      <w:tr>
        <w:trPr>
          <w:trHeight w:val="188"/>
        </w:trPr>
        <w:tc>
          <w:tcPr>
            <w:tcW w:w="7280" w:type="dxa"/>
            <w:vAlign w:val="bottom"/>
          </w:tcPr>
          <w:p>
            <w:pPr>
              <w:spacing w:after="0"/>
              <w:rPr>
                <w:sz w:val="20"/>
                <w:szCs w:val="20"/>
                <w:color w:val="auto"/>
              </w:rPr>
            </w:pPr>
            <w:r>
              <w:rPr>
                <w:rFonts w:ascii="Courier New" w:cs="Courier New" w:eastAsia="Courier New" w:hAnsi="Courier New"/>
                <w:sz w:val="16"/>
                <w:szCs w:val="16"/>
                <w:color w:val="auto"/>
              </w:rPr>
              <w:t>Morgan Stanley &amp; Co. Incorporated......................................</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$ 20,000,000</w:t>
            </w:r>
          </w:p>
        </w:tc>
      </w:tr>
      <w:tr>
        <w:trPr>
          <w:trHeight w:val="188"/>
        </w:trPr>
        <w:tc>
          <w:tcPr>
            <w:tcW w:w="7280" w:type="dxa"/>
            <w:vAlign w:val="bottom"/>
          </w:tcPr>
          <w:p>
            <w:pPr>
              <w:spacing w:after="0"/>
              <w:rPr>
                <w:sz w:val="16"/>
                <w:szCs w:val="16"/>
                <w:color w:val="auto"/>
              </w:rPr>
            </w:pP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w:t>
            </w:r>
          </w:p>
        </w:tc>
      </w:tr>
      <w:tr>
        <w:trPr>
          <w:trHeight w:val="376"/>
        </w:trPr>
        <w:tc>
          <w:tcPr>
            <w:tcW w:w="7280" w:type="dxa"/>
            <w:vAlign w:val="bottom"/>
          </w:tcPr>
          <w:p>
            <w:pPr>
              <w:ind w:left="4300"/>
              <w:spacing w:after="0"/>
              <w:rPr>
                <w:sz w:val="20"/>
                <w:szCs w:val="20"/>
                <w:color w:val="auto"/>
              </w:rPr>
            </w:pPr>
            <w:r>
              <w:rPr>
                <w:rFonts w:ascii="Courier New" w:cs="Courier New" w:eastAsia="Courier New" w:hAnsi="Courier New"/>
                <w:sz w:val="16"/>
                <w:szCs w:val="16"/>
                <w:color w:val="auto"/>
              </w:rPr>
              <w:t>Total......................</w:t>
            </w: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$250,000,000</w:t>
            </w:r>
          </w:p>
        </w:tc>
      </w:tr>
      <w:tr>
        <w:trPr>
          <w:trHeight w:val="188"/>
        </w:trPr>
        <w:tc>
          <w:tcPr>
            <w:tcW w:w="7280" w:type="dxa"/>
            <w:vAlign w:val="bottom"/>
          </w:tcPr>
          <w:p>
            <w:pPr>
              <w:spacing w:after="0"/>
              <w:rPr>
                <w:sz w:val="16"/>
                <w:szCs w:val="16"/>
                <w:color w:val="auto"/>
              </w:rPr>
            </w:pPr>
          </w:p>
        </w:tc>
        <w:tc>
          <w:tcPr>
            <w:tcW w:w="30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60"/>
          </w:cols>
          <w:pgMar w:left="240" w:top="1432" w:right="129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5"/>
                <w:szCs w:val="15"/>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6"/>
                <w:szCs w:val="16"/>
                <w:color w:val="auto"/>
              </w:rPr>
              <w:t>SCHEDULE III</w:t>
            </w:r>
          </w:p>
        </w:tc>
      </w:tr>
      <w:tr>
        <w:trPr>
          <w:trHeight w:val="376"/>
        </w:trPr>
        <w:tc>
          <w:tcPr>
            <w:tcW w:w="3180" w:type="dxa"/>
            <w:vAlign w:val="bottom"/>
          </w:tcPr>
          <w:p>
            <w:pPr>
              <w:spacing w:after="0"/>
              <w:rPr>
                <w:sz w:val="20"/>
                <w:szCs w:val="20"/>
                <w:color w:val="auto"/>
              </w:rPr>
            </w:pPr>
            <w:r>
              <w:rPr>
                <w:rFonts w:ascii="Courier New" w:cs="Courier New" w:eastAsia="Courier New" w:hAnsi="Courier New"/>
                <w:sz w:val="16"/>
                <w:szCs w:val="16"/>
                <w:color w:val="auto"/>
              </w:rPr>
              <w:t>Principal Subsidiaries</w:t>
            </w:r>
          </w:p>
        </w:tc>
        <w:tc>
          <w:tcPr>
            <w:tcW w:w="4340" w:type="dxa"/>
            <w:vAlign w:val="bottom"/>
          </w:tcPr>
          <w:p>
            <w:pPr>
              <w:ind w:left="1520"/>
              <w:spacing w:after="0"/>
              <w:rPr>
                <w:sz w:val="20"/>
                <w:szCs w:val="20"/>
                <w:color w:val="auto"/>
              </w:rPr>
            </w:pPr>
            <w:r>
              <w:rPr>
                <w:rFonts w:ascii="Courier New" w:cs="Courier New" w:eastAsia="Courier New" w:hAnsi="Courier New"/>
                <w:sz w:val="16"/>
                <w:szCs w:val="16"/>
                <w:color w:val="auto"/>
              </w:rPr>
              <w:t>Jurisdiction Of Incorporation</w:t>
            </w:r>
          </w:p>
        </w:tc>
      </w:tr>
      <w:tr>
        <w:trPr>
          <w:trHeight w:val="376"/>
        </w:trPr>
        <w:tc>
          <w:tcPr>
            <w:tcW w:w="3180" w:type="dxa"/>
            <w:vAlign w:val="bottom"/>
          </w:tcPr>
          <w:p>
            <w:pPr>
              <w:spacing w:after="0"/>
              <w:rPr>
                <w:sz w:val="20"/>
                <w:szCs w:val="20"/>
                <w:color w:val="auto"/>
              </w:rPr>
            </w:pPr>
            <w:r>
              <w:rPr>
                <w:rFonts w:ascii="Courier New" w:cs="Courier New" w:eastAsia="Courier New" w:hAnsi="Courier New"/>
                <w:sz w:val="16"/>
                <w:szCs w:val="16"/>
                <w:color w:val="auto"/>
              </w:rPr>
              <w:t>Allstate Insurance Company</w:t>
            </w:r>
          </w:p>
        </w:tc>
        <w:tc>
          <w:tcPr>
            <w:tcW w:w="4340" w:type="dxa"/>
            <w:vAlign w:val="bottom"/>
          </w:tcPr>
          <w:p>
            <w:pPr>
              <w:ind w:left="2580"/>
              <w:spacing w:after="0"/>
              <w:rPr>
                <w:sz w:val="20"/>
                <w:szCs w:val="20"/>
                <w:color w:val="auto"/>
              </w:rPr>
            </w:pPr>
            <w:r>
              <w:rPr>
                <w:rFonts w:ascii="Courier New" w:cs="Courier New" w:eastAsia="Courier New" w:hAnsi="Courier New"/>
                <w:sz w:val="16"/>
                <w:szCs w:val="16"/>
                <w:color w:val="auto"/>
              </w:rPr>
              <w:t>Illinois</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Allstate Life Insurance Company</w:t>
            </w:r>
          </w:p>
        </w:tc>
        <w:tc>
          <w:tcPr>
            <w:tcW w:w="4340" w:type="dxa"/>
            <w:vAlign w:val="bottom"/>
          </w:tcPr>
          <w:p>
            <w:pPr>
              <w:ind w:left="2580"/>
              <w:spacing w:after="0"/>
              <w:rPr>
                <w:sz w:val="20"/>
                <w:szCs w:val="20"/>
                <w:color w:val="auto"/>
              </w:rPr>
            </w:pPr>
            <w:r>
              <w:rPr>
                <w:rFonts w:ascii="Courier New" w:cs="Courier New" w:eastAsia="Courier New" w:hAnsi="Courier New"/>
                <w:sz w:val="16"/>
                <w:szCs w:val="16"/>
                <w:color w:val="auto"/>
              </w:rPr>
              <w:t>Illinois</w:t>
            </w:r>
          </w:p>
        </w:tc>
      </w:tr>
    </w:tbl>
    <w:p>
      <w:pPr>
        <w:sectPr>
          <w:pgSz w:w="11900" w:h="16838" w:orient="portrait"/>
          <w:cols w:equalWidth="0" w:num="1">
            <w:col w:w="10219"/>
          </w:cols>
          <w:pgMar w:left="240" w:top="1432" w:right="1440" w:bottom="1440" w:gutter="0" w:footer="0" w:header="0"/>
        </w:sectPr>
      </w:pPr>
    </w:p>
    <w:bookmarkStart w:id="29" w:name="page30"/>
    <w:bookmarkEnd w:id="29"/>
    <w:p>
      <w:pPr>
        <w:ind w:left="3420"/>
        <w:spacing w:after="0"/>
        <w:rPr>
          <w:sz w:val="20"/>
          <w:szCs w:val="20"/>
          <w:color w:val="auto"/>
        </w:rPr>
      </w:pPr>
      <w:r>
        <w:rPr>
          <w:rFonts w:ascii="Courier New" w:cs="Courier New" w:eastAsia="Courier New" w:hAnsi="Courier New"/>
          <w:sz w:val="16"/>
          <w:szCs w:val="16"/>
          <w:color w:val="auto"/>
        </w:rPr>
        <w:t>SCHEDULE IV</w:t>
      </w:r>
    </w:p>
    <w:p>
      <w:pPr>
        <w:spacing w:after="0" w:line="195" w:lineRule="exact"/>
        <w:rPr>
          <w:sz w:val="20"/>
          <w:szCs w:val="20"/>
          <w:color w:val="auto"/>
        </w:rPr>
      </w:pPr>
    </w:p>
    <w:p>
      <w:pPr>
        <w:ind w:right="2399" w:firstLine="880"/>
        <w:spacing w:after="0" w:line="252" w:lineRule="auto"/>
        <w:rPr>
          <w:sz w:val="20"/>
          <w:szCs w:val="20"/>
          <w:color w:val="auto"/>
        </w:rPr>
      </w:pPr>
      <w:r>
        <w:rPr>
          <w:rFonts w:ascii="Courier New" w:cs="Courier New" w:eastAsia="Courier New" w:hAnsi="Courier New"/>
          <w:sz w:val="16"/>
          <w:szCs w:val="16"/>
          <w:color w:val="auto"/>
        </w:rPr>
        <w:t>Pursuant to Section 7(f) of the Underwriting Agreement, the accountants shall furnish letters to the Underwriters to the effect that:</w:t>
      </w:r>
    </w:p>
    <w:p>
      <w:pPr>
        <w:spacing w:after="0" w:line="183" w:lineRule="exact"/>
        <w:rPr>
          <w:sz w:val="20"/>
          <w:szCs w:val="20"/>
          <w:color w:val="auto"/>
        </w:rPr>
      </w:pPr>
    </w:p>
    <w:p>
      <w:pPr>
        <w:ind w:left="980" w:right="2499" w:firstLine="975"/>
        <w:spacing w:after="0" w:line="249" w:lineRule="auto"/>
        <w:tabs>
          <w:tab w:leader="none" w:pos="23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Exchange Act and the applicable published rules and regulations thereunder;</w:t>
      </w:r>
    </w:p>
    <w:p>
      <w:pPr>
        <w:spacing w:after="0" w:line="187" w:lineRule="exact"/>
        <w:rPr>
          <w:rFonts w:ascii="Courier New" w:cs="Courier New" w:eastAsia="Courier New" w:hAnsi="Courier New"/>
          <w:sz w:val="16"/>
          <w:szCs w:val="16"/>
          <w:color w:val="auto"/>
        </w:rPr>
      </w:pPr>
    </w:p>
    <w:p>
      <w:pPr>
        <w:ind w:left="980" w:right="2399" w:firstLine="975"/>
        <w:spacing w:after="0" w:line="249" w:lineRule="auto"/>
        <w:tabs>
          <w:tab w:leader="none" w:pos="244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financial statement schedules, certain summary and selected consolidated financial and operating data, and any supplementary financial information and schedules (and, if applicable, pro forma financial information) audited by them and included or incorporated by reference in the Final Prospectus as amended or supplemented or the Registration Statement comply as to form in all material respects with the applicable accounting requirements of the Act and the Exchange Act and the related published rules and regulations thereunder; and, they have performed a review in accordance with standards established under Statement of Auditing Standards No. 71 established by the American Institute of Certified Public Accountants of the unaudited consolidated interim financial statements, and any supplementary financial information and schedules, selected financial data, pro forma financial information, prospective financial statements and/or condensed financial statements derived from audited financial statements of the Company included or incorporated by reference in the Final Prospectus, as amended or supplemented or the Registration Statement, for the periods specified in such letter, and, as indicated in their report thereon, copies of which have been furnished to the representatives of the Underwriters (the "Representatives");</w:t>
      </w:r>
    </w:p>
    <w:p>
      <w:pPr>
        <w:spacing w:after="0" w:line="185" w:lineRule="exact"/>
        <w:rPr>
          <w:rFonts w:ascii="Courier New" w:cs="Courier New" w:eastAsia="Courier New" w:hAnsi="Courier New"/>
          <w:sz w:val="16"/>
          <w:szCs w:val="16"/>
          <w:color w:val="auto"/>
        </w:rPr>
      </w:pPr>
    </w:p>
    <w:p>
      <w:pPr>
        <w:ind w:left="980" w:right="2399" w:firstLine="975"/>
        <w:spacing w:after="0" w:line="249" w:lineRule="auto"/>
        <w:tabs>
          <w:tab w:leader="none" w:pos="254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limited procedures, not constituting an audit in accordance with generally accepted auditing standards, consisting of a reading of the unaudited financial statements and other information referred to below, a reading of the latest available interim and annual financial statements of the Company and its subsidiaries, inspection of the minute books of the Company and its subsidiaries since the date of the latest audited financial statements included or incorporated by reference in the Final Prospectus as amended or supplemented,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86" w:lineRule="exact"/>
        <w:rPr>
          <w:rFonts w:ascii="Courier New" w:cs="Courier New" w:eastAsia="Courier New" w:hAnsi="Courier New"/>
          <w:sz w:val="16"/>
          <w:szCs w:val="16"/>
          <w:color w:val="auto"/>
        </w:rPr>
      </w:pPr>
    </w:p>
    <w:p>
      <w:pPr>
        <w:ind w:left="1960" w:right="2399" w:firstLine="972"/>
        <w:spacing w:after="0" w:line="249" w:lineRule="auto"/>
        <w:tabs>
          <w:tab w:leader="none" w:pos="332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consolidated statements of income, consolidated balance sheets and consolidated statements of cash flows and certain summary and selected consolidated financial and operating data included or incorporated by reference in the Final Prospectus as amended or supplemented do not comply as to form in all material respects with the applicable accounting requirements of the Act and the Exchange Act and the related published rules and regulations thereunder and generally accepted accounting principles, applied on a basis substantially consistent with that of the audited financial statements included or incorporated by reference in the Final Prospectus;</w:t>
      </w:r>
    </w:p>
    <w:p>
      <w:pPr>
        <w:sectPr>
          <w:pgSz w:w="11900" w:h="16838" w:orient="portrait"/>
          <w:cols w:equalWidth="0" w:num="1">
            <w:col w:w="10219"/>
          </w:cols>
          <w:pgMar w:left="240" w:top="680" w:right="1440" w:bottom="1440" w:gutter="0" w:footer="0" w:header="0"/>
        </w:sectPr>
      </w:pPr>
    </w:p>
    <w:bookmarkStart w:id="30" w:name="page31"/>
    <w:bookmarkEnd w:id="30"/>
    <w:p>
      <w:pPr>
        <w:ind w:left="760" w:right="2399" w:firstLine="972"/>
        <w:spacing w:after="0" w:line="249" w:lineRule="auto"/>
        <w:tabs>
          <w:tab w:leader="none" w:pos="212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unaudited income statement data and balance sheet items included or incorporated by reference in the Final Prospectus as amended or supplemented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Final Prospectus as amended or supplemented;</w:t>
      </w:r>
    </w:p>
    <w:p>
      <w:pPr>
        <w:spacing w:after="0" w:line="374" w:lineRule="exact"/>
        <w:rPr>
          <w:rFonts w:ascii="Courier New" w:cs="Courier New" w:eastAsia="Courier New" w:hAnsi="Courier New"/>
          <w:sz w:val="16"/>
          <w:szCs w:val="16"/>
          <w:color w:val="auto"/>
        </w:rPr>
      </w:pPr>
    </w:p>
    <w:p>
      <w:pPr>
        <w:ind w:left="760" w:right="2399" w:firstLine="972"/>
        <w:spacing w:after="0" w:line="249" w:lineRule="auto"/>
        <w:tabs>
          <w:tab w:leader="none" w:pos="212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or incorporated by reference in the Final Prospectus as amended or supplemented but from which were derived any unaudited condensed financial statements referred to in Clause (A) and any unaudited income statement data and balance sheet items included or incorporated by reference in the Final Prospectus as amended or supplemented and referred to in Clause (B) were not determined on a basis substantially consistent with the basis for the audited consolidated financial statements included or incorporated by reference in the Final Prospectus as amended or supplemented;</w:t>
      </w:r>
    </w:p>
    <w:p>
      <w:pPr>
        <w:spacing w:after="0" w:line="374" w:lineRule="exact"/>
        <w:rPr>
          <w:rFonts w:ascii="Courier New" w:cs="Courier New" w:eastAsia="Courier New" w:hAnsi="Courier New"/>
          <w:sz w:val="16"/>
          <w:szCs w:val="16"/>
          <w:color w:val="auto"/>
        </w:rPr>
      </w:pPr>
    </w:p>
    <w:p>
      <w:pPr>
        <w:ind w:left="760" w:right="2399" w:firstLine="972"/>
        <w:spacing w:after="0" w:line="249" w:lineRule="auto"/>
        <w:tabs>
          <w:tab w:leader="none" w:pos="212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unaudited pro forma consolidated condensed financial statements included or incorporated by reference in the Final Prospectus as amended or supplemented do not comply as to form in all material respects with the applicable accounting requirements of the Act and the Exchange Act and the published rules and regulations thereunder or the pro forma adjustments have not been properly applied to the historical amounts in the compilation of those statements.</w:t>
      </w:r>
    </w:p>
    <w:p>
      <w:pPr>
        <w:spacing w:after="0" w:line="375" w:lineRule="exact"/>
        <w:rPr>
          <w:rFonts w:ascii="Courier New" w:cs="Courier New" w:eastAsia="Courier New" w:hAnsi="Courier New"/>
          <w:sz w:val="16"/>
          <w:szCs w:val="16"/>
          <w:color w:val="auto"/>
        </w:rPr>
      </w:pPr>
    </w:p>
    <w:p>
      <w:pPr>
        <w:ind w:left="760" w:right="2399" w:firstLine="972"/>
        <w:spacing w:after="0" w:line="249" w:lineRule="auto"/>
        <w:tabs>
          <w:tab w:leader="none" w:pos="212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 business days prior to the date of such letter, there have been any changes in the consolidated capital stock or any increase in the consolidated borrowings or consolidated reserve for property-liability insurance claims and claims expense or consolidated reserve for life insurance policy benefits, or asset reserves of the Company and its subsidiaries, or any decreases in consolidated fixed income securities available for sale, consolidated equity securities, consolidated investments or shareholder equity, or any decrease in AIC's or ALIC's statutory capital and surplus, or other items specified by the Representatives, in each case as compared with amounts shown in the latest balance sheet included or incorporated by reference in the Final Prospectus as amended or supplemented, except in each case for changes, increases or decreases which the Final Prospectus discloses have occurred or may occur or which are described in such letter; and</w:t>
      </w:r>
    </w:p>
    <w:p>
      <w:pPr>
        <w:spacing w:after="0" w:line="186" w:lineRule="exact"/>
        <w:rPr>
          <w:rFonts w:ascii="Courier New" w:cs="Courier New" w:eastAsia="Courier New" w:hAnsi="Courier New"/>
          <w:sz w:val="16"/>
          <w:szCs w:val="16"/>
          <w:color w:val="auto"/>
        </w:rPr>
      </w:pPr>
    </w:p>
    <w:p>
      <w:pPr>
        <w:ind w:left="760" w:right="2499" w:firstLine="972"/>
        <w:spacing w:after="0" w:line="249" w:lineRule="auto"/>
        <w:tabs>
          <w:tab w:leader="none" w:pos="212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Final Prospectus as amended or supplemented to the specified date referred to in Clause (E) there were any decreases in consolidated premiums earned, consolidated net investment income, or other items specified by the Representatives, or any increases in any items specified by the Representatives, in each case as compared with the comparable period of the</w:t>
      </w:r>
    </w:p>
    <w:p>
      <w:pPr>
        <w:spacing w:after="0" w:line="18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868" w:right="1440" w:bottom="1440" w:gutter="0" w:footer="0" w:header="0"/>
        </w:sectPr>
      </w:pPr>
    </w:p>
    <w:bookmarkStart w:id="31" w:name="page32"/>
    <w:bookmarkEnd w:id="31"/>
    <w:p>
      <w:pPr>
        <w:ind w:left="760" w:right="2399"/>
        <w:spacing w:after="0" w:line="249" w:lineRule="auto"/>
        <w:rPr>
          <w:sz w:val="20"/>
          <w:szCs w:val="20"/>
          <w:color w:val="auto"/>
        </w:rPr>
      </w:pPr>
      <w:r>
        <w:rPr>
          <w:rFonts w:ascii="Courier New" w:cs="Courier New" w:eastAsia="Courier New" w:hAnsi="Courier New"/>
          <w:sz w:val="16"/>
          <w:szCs w:val="16"/>
          <w:color w:val="auto"/>
        </w:rPr>
        <w:t>preceding year and with any other period of corresponding length specified by the Representatives, except in each case for decreases or increases which the Final Prospectus discloses have occurred or may occur or which are described in such letter; and</w:t>
      </w:r>
    </w:p>
    <w:p>
      <w:pPr>
        <w:spacing w:after="0" w:line="187" w:lineRule="exact"/>
        <w:rPr>
          <w:sz w:val="20"/>
          <w:szCs w:val="20"/>
          <w:color w:val="auto"/>
        </w:rPr>
      </w:pPr>
    </w:p>
    <w:p>
      <w:pPr>
        <w:ind w:left="-220" w:right="2399" w:firstLine="975"/>
        <w:spacing w:after="0" w:line="249" w:lineRule="auto"/>
        <w:tabs>
          <w:tab w:leader="none" w:pos="124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examination referred to in their report(s) included or incorporated by reference in the Final Prospectus as amended or supplemented and the limited procedures, inspection of minute books, inquiries and other procedures referred to in paragraphs (ii) and (iii) above, they have carried out certain procedures as specified in their letter,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or are incorporated by reference in the Final Prospectus as amended or supplemented or in Part II of, or in exhibits and schedules to, the Registration Statement specified by the Representatives, and have compared certain of such specified amounts, percentages and financial information with the accounting records of the Company and its subsidiaries and have found them to be in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868" w:right="1440" w:bottom="1440" w:gutter="0" w:footer="0" w:header="0"/>
        </w:sectPr>
      </w:pPr>
    </w:p>
    <w:bookmarkStart w:id="32" w:name="page33"/>
    <w:bookmarkEnd w:id="32"/>
    <w:p>
      <w:pPr>
        <w:jc w:val="right"/>
        <w:ind w:right="2399"/>
        <w:spacing w:after="0"/>
        <w:rPr>
          <w:sz w:val="20"/>
          <w:szCs w:val="20"/>
          <w:color w:val="auto"/>
        </w:rPr>
      </w:pPr>
      <w:r>
        <w:rPr>
          <w:rFonts w:ascii="Courier New" w:cs="Courier New" w:eastAsia="Courier New" w:hAnsi="Courier New"/>
          <w:sz w:val="16"/>
          <w:szCs w:val="16"/>
          <w:color w:val="auto"/>
        </w:rPr>
        <w:t>Exhibit 4.1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ALLSTATE CORPORATION</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TO</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STATE STREET BANK AND TRUST COMPANY, as Trustee</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NINTH SUPPLEMENTAL INDENTURE TO</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INDENTURE DATED DECEMBER 16, 1997</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(SENIOR DEBT SECURITIES)</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Dated as of December 17, 2002</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6.125% Senior Notes due 2032</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8" w:right="1440" w:bottom="1440" w:gutter="0" w:footer="0" w:header="0"/>
        </w:sectPr>
      </w:pPr>
    </w:p>
    <w:bookmarkStart w:id="33" w:name="page34"/>
    <w:bookmarkEnd w:id="33"/>
    <w:p>
      <w:pPr>
        <w:ind w:left="4580"/>
        <w:spacing w:after="0"/>
        <w:rPr>
          <w:sz w:val="20"/>
          <w:szCs w:val="20"/>
          <w:color w:val="auto"/>
        </w:rPr>
      </w:pPr>
      <w:r>
        <w:rPr>
          <w:rFonts w:ascii="Courier New" w:cs="Courier New" w:eastAsia="Courier New" w:hAnsi="Courier New"/>
          <w:sz w:val="16"/>
          <w:szCs w:val="16"/>
          <w:color w:val="auto"/>
        </w:rPr>
        <w:t>TABLE OF CONTENTS</w:t>
      </w:r>
    </w:p>
    <w:p>
      <w:pPr>
        <w:spacing w:after="0" w:line="19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Relation to Indenture; Definitions</w:t>
      </w:r>
    </w:p>
    <w:p>
      <w:pPr>
        <w:spacing w:after="0" w:line="383"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6"/>
          <w:szCs w:val="16"/>
          <w:color w:val="auto"/>
        </w:rPr>
        <w:t>RELATION TO INDENTURE</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The Series of Securities</w:t>
      </w:r>
    </w:p>
    <w:p>
      <w:pPr>
        <w:spacing w:after="0" w:line="195"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2.1.</w:t>
      </w:r>
      <w:r>
        <w:rPr>
          <w:sz w:val="20"/>
          <w:szCs w:val="20"/>
          <w:color w:val="auto"/>
        </w:rPr>
        <w:tab/>
      </w:r>
      <w:r>
        <w:rPr>
          <w:rFonts w:ascii="Courier New" w:cs="Courier New" w:eastAsia="Courier New" w:hAnsi="Courier New"/>
          <w:sz w:val="16"/>
          <w:szCs w:val="16"/>
          <w:color w:val="auto"/>
        </w:rPr>
        <w:t>TITLE OF THE SECURITIES</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6"/>
          <w:szCs w:val="16"/>
          <w:color w:val="auto"/>
        </w:rPr>
        <w:t>LIMITATION ON AGGREGATE PRINCIPAL AMOUNT</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2.3.</w:t>
      </w:r>
      <w:r>
        <w:rPr>
          <w:sz w:val="20"/>
          <w:szCs w:val="20"/>
          <w:color w:val="auto"/>
        </w:rPr>
        <w:tab/>
      </w:r>
      <w:r>
        <w:rPr>
          <w:rFonts w:ascii="Courier New" w:cs="Courier New" w:eastAsia="Courier New" w:hAnsi="Courier New"/>
          <w:sz w:val="16"/>
          <w:szCs w:val="16"/>
          <w:color w:val="auto"/>
        </w:rPr>
        <w:t>PRINCIPAL PAYMENT DATE</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2.4.</w:t>
      </w:r>
      <w:r>
        <w:rPr>
          <w:sz w:val="20"/>
          <w:szCs w:val="20"/>
          <w:color w:val="auto"/>
        </w:rPr>
        <w:tab/>
      </w:r>
      <w:r>
        <w:rPr>
          <w:rFonts w:ascii="Courier New" w:cs="Courier New" w:eastAsia="Courier New" w:hAnsi="Courier New"/>
          <w:sz w:val="16"/>
          <w:szCs w:val="16"/>
          <w:color w:val="auto"/>
        </w:rPr>
        <w:t>INTEREST AND INTEREST RATES</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2.5.</w:t>
      </w:r>
      <w:r>
        <w:rPr>
          <w:sz w:val="20"/>
          <w:szCs w:val="20"/>
          <w:color w:val="auto"/>
        </w:rPr>
        <w:tab/>
      </w:r>
      <w:r>
        <w:rPr>
          <w:rFonts w:ascii="Courier New" w:cs="Courier New" w:eastAsia="Courier New" w:hAnsi="Courier New"/>
          <w:sz w:val="16"/>
          <w:szCs w:val="16"/>
          <w:color w:val="auto"/>
        </w:rPr>
        <w:t>PLACE OF PAYMENT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2.6.</w:t>
      </w:r>
      <w:r>
        <w:rPr>
          <w:sz w:val="20"/>
          <w:szCs w:val="20"/>
          <w:color w:val="auto"/>
        </w:rPr>
        <w:tab/>
      </w:r>
      <w:r>
        <w:rPr>
          <w:rFonts w:ascii="Courier New" w:cs="Courier New" w:eastAsia="Courier New" w:hAnsi="Courier New"/>
          <w:sz w:val="16"/>
          <w:szCs w:val="16"/>
          <w:color w:val="auto"/>
        </w:rPr>
        <w:t>REDEMPTION</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2.7.</w:t>
      </w:r>
      <w:r>
        <w:rPr>
          <w:sz w:val="20"/>
          <w:szCs w:val="20"/>
          <w:color w:val="auto"/>
        </w:rPr>
        <w:tab/>
      </w:r>
      <w:r>
        <w:rPr>
          <w:rFonts w:ascii="Courier New" w:cs="Courier New" w:eastAsia="Courier New" w:hAnsi="Courier New"/>
          <w:sz w:val="16"/>
          <w:szCs w:val="16"/>
          <w:color w:val="auto"/>
        </w:rPr>
        <w:t>DENOMINATION</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2.8.</w:t>
      </w:r>
      <w:r>
        <w:rPr>
          <w:sz w:val="20"/>
          <w:szCs w:val="20"/>
          <w:color w:val="auto"/>
        </w:rPr>
        <w:tab/>
      </w:r>
      <w:r>
        <w:rPr>
          <w:rFonts w:ascii="Courier New" w:cs="Courier New" w:eastAsia="Courier New" w:hAnsi="Courier New"/>
          <w:sz w:val="16"/>
          <w:szCs w:val="16"/>
          <w:color w:val="auto"/>
        </w:rPr>
        <w:t>CURRENCY</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2.9.</w:t>
      </w:r>
      <w:r>
        <w:rPr>
          <w:sz w:val="20"/>
          <w:szCs w:val="20"/>
          <w:color w:val="auto"/>
        </w:rPr>
        <w:tab/>
      </w:r>
      <w:r>
        <w:rPr>
          <w:rFonts w:ascii="Courier New" w:cs="Courier New" w:eastAsia="Courier New" w:hAnsi="Courier New"/>
          <w:sz w:val="16"/>
          <w:szCs w:val="16"/>
          <w:color w:val="auto"/>
        </w:rPr>
        <w:t>FORM OF SECURITIES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6"/>
          <w:szCs w:val="16"/>
          <w:color w:val="auto"/>
        </w:rPr>
        <w:t>SECURITIES REGISTRAR AND PAYING AGENT</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2.11.</w:t>
      </w:r>
      <w:r>
        <w:rPr>
          <w:sz w:val="20"/>
          <w:szCs w:val="20"/>
          <w:color w:val="auto"/>
        </w:rPr>
        <w:tab/>
      </w:r>
      <w:r>
        <w:rPr>
          <w:rFonts w:ascii="Courier New" w:cs="Courier New" w:eastAsia="Courier New" w:hAnsi="Courier New"/>
          <w:sz w:val="16"/>
          <w:szCs w:val="16"/>
          <w:color w:val="auto"/>
        </w:rPr>
        <w:t>SINKING FUND OBLIGATIONS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2.12.</w:t>
      </w:r>
      <w:r>
        <w:rPr>
          <w:sz w:val="20"/>
          <w:szCs w:val="20"/>
          <w:color w:val="auto"/>
        </w:rPr>
        <w:tab/>
      </w:r>
      <w:r>
        <w:rPr>
          <w:rFonts w:ascii="Courier New" w:cs="Courier New" w:eastAsia="Courier New" w:hAnsi="Courier New"/>
          <w:sz w:val="16"/>
          <w:szCs w:val="16"/>
          <w:color w:val="auto"/>
        </w:rPr>
        <w:t>DEFEASANCE AND COVENANT DEFEASANCE</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2.13.</w:t>
      </w:r>
      <w:r>
        <w:rPr>
          <w:sz w:val="20"/>
          <w:szCs w:val="20"/>
          <w:color w:val="auto"/>
        </w:rPr>
        <w:tab/>
      </w:r>
      <w:r>
        <w:rPr>
          <w:rFonts w:ascii="Courier New" w:cs="Courier New" w:eastAsia="Courier New" w:hAnsi="Courier New"/>
          <w:sz w:val="16"/>
          <w:szCs w:val="16"/>
          <w:color w:val="auto"/>
        </w:rPr>
        <w:t>IMMEDIATELY AVAILABLE FUNDS</w:t>
      </w:r>
      <w:r>
        <w:rPr>
          <w:sz w:val="20"/>
          <w:szCs w:val="20"/>
          <w:color w:val="auto"/>
        </w:rPr>
        <w:tab/>
      </w:r>
      <w:r>
        <w:rPr>
          <w:rFonts w:ascii="Courier New" w:cs="Courier New" w:eastAsia="Courier New" w:hAnsi="Courier New"/>
          <w:sz w:val="16"/>
          <w:szCs w:val="16"/>
          <w:color w:val="auto"/>
        </w:rPr>
        <w:t>5</w:t>
      </w:r>
    </w:p>
    <w:p>
      <w:pPr>
        <w:spacing w:after="0" w:line="19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Expenses</w:t>
      </w:r>
    </w:p>
    <w:p>
      <w:pPr>
        <w:spacing w:after="0" w:line="195"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6"/>
          <w:szCs w:val="16"/>
          <w:color w:val="auto"/>
        </w:rPr>
        <w:t>PAYMENT OF EXPENSES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3.2.</w:t>
      </w:r>
      <w:r>
        <w:rPr>
          <w:sz w:val="20"/>
          <w:szCs w:val="20"/>
          <w:color w:val="auto"/>
        </w:rPr>
        <w:tab/>
      </w:r>
      <w:r>
        <w:rPr>
          <w:rFonts w:ascii="Courier New" w:cs="Courier New" w:eastAsia="Courier New" w:hAnsi="Courier New"/>
          <w:sz w:val="16"/>
          <w:szCs w:val="16"/>
          <w:color w:val="auto"/>
        </w:rPr>
        <w:t>PAYMENT UPON RESIGNATION OR REMOVAL</w:t>
      </w:r>
      <w:r>
        <w:rPr>
          <w:sz w:val="20"/>
          <w:szCs w:val="20"/>
          <w:color w:val="auto"/>
        </w:rPr>
        <w:tab/>
      </w:r>
      <w:r>
        <w:rPr>
          <w:rFonts w:ascii="Courier New" w:cs="Courier New" w:eastAsia="Courier New" w:hAnsi="Courier New"/>
          <w:sz w:val="16"/>
          <w:szCs w:val="16"/>
          <w:color w:val="auto"/>
        </w:rPr>
        <w:t>5</w:t>
      </w:r>
    </w:p>
    <w:p>
      <w:pPr>
        <w:spacing w:after="0" w:line="19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6"/>
          <w:szCs w:val="16"/>
          <w:color w:val="auto"/>
        </w:rPr>
        <w:t>TRUSTEE NOT RESPONSIBLE FOR RECITALS</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4.2.</w:t>
      </w:r>
      <w:r>
        <w:rPr>
          <w:sz w:val="20"/>
          <w:szCs w:val="20"/>
          <w:color w:val="auto"/>
        </w:rPr>
        <w:tab/>
      </w:r>
      <w:r>
        <w:rPr>
          <w:rFonts w:ascii="Courier New" w:cs="Courier New" w:eastAsia="Courier New" w:hAnsi="Courier New"/>
          <w:sz w:val="16"/>
          <w:szCs w:val="16"/>
          <w:color w:val="auto"/>
        </w:rPr>
        <w:t>ADOPTION, RATIFICATION AND CONFIRMATION</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4.3.</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spacing w:after="0"/>
        <w:tabs>
          <w:tab w:leader="none" w:pos="2320" w:val="left"/>
          <w:tab w:leader="dot" w:pos="10820" w:val="left"/>
        </w:tabs>
        <w:rPr>
          <w:sz w:val="20"/>
          <w:szCs w:val="20"/>
          <w:color w:val="auto"/>
        </w:rPr>
      </w:pPr>
      <w:r>
        <w:rPr>
          <w:rFonts w:ascii="Courier New" w:cs="Courier New" w:eastAsia="Courier New" w:hAnsi="Courier New"/>
          <w:sz w:val="16"/>
          <w:szCs w:val="16"/>
          <w:color w:val="auto"/>
        </w:rPr>
        <w:t>Section 4.4.</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6</w:t>
      </w:r>
    </w:p>
    <w:p>
      <w:pPr>
        <w:sectPr>
          <w:pgSz w:w="11900" w:h="16838" w:orient="portrait"/>
          <w:cols w:equalWidth="0" w:num="1">
            <w:col w:w="10940"/>
          </w:cols>
          <w:pgMar w:left="540" w:top="1244" w:right="419" w:bottom="1440" w:gutter="0" w:footer="0" w:header="0"/>
        </w:sectPr>
      </w:pPr>
    </w:p>
    <w:bookmarkStart w:id="34" w:name="page35"/>
    <w:bookmarkEnd w:id="34"/>
    <w:p>
      <w:pPr>
        <w:ind w:left="2740"/>
        <w:spacing w:after="0"/>
        <w:rPr>
          <w:sz w:val="20"/>
          <w:szCs w:val="20"/>
          <w:color w:val="auto"/>
        </w:rPr>
      </w:pPr>
      <w:r>
        <w:rPr>
          <w:rFonts w:ascii="Courier New" w:cs="Courier New" w:eastAsia="Courier New" w:hAnsi="Courier New"/>
          <w:sz w:val="16"/>
          <w:szCs w:val="16"/>
          <w:color w:val="auto"/>
        </w:rPr>
        <w:t>THE ALLSTATE CORPORATION</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NINTH SUPPLEMENTAL INDENTURE TO</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INDENTURE DATED DECEMBER 16, 1997</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(SENIOR DEBT SECURITIES)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$250,000,000</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6.125% Senior Notes due 2032</w:t>
      </w:r>
    </w:p>
    <w:p>
      <w:pPr>
        <w:spacing w:after="0" w:line="19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NINTH SUPPLEMENTAL INDENTURE, dated as of December 17, 2002, between THE ALLSTATE CORPORATION, a Delaware corporation (the "Company"), and STATE STREET BANK AND TRUST COMPANY, a trust company organized under the laws of the Commonwealth of Massachusetts, as Trustee (the "Trustee").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RECITALS</w:t>
      </w:r>
    </w:p>
    <w:p>
      <w:pPr>
        <w:spacing w:after="0" w:line="195"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The Company has heretofore executed and delivered to the Trustee an Indenture for Senior Debt Securities, dated as of December 16, 1997, as amended by the Third Supplemental Indenture dated as of July 23, 1999 and the Sixth Supplemental Indenture dated as of June 12, 2000 (the "Indenture"), providing for the issuance from time to time of series of the Company's Securities.</w:t>
      </w:r>
    </w:p>
    <w:p>
      <w:pPr>
        <w:spacing w:after="0" w:line="187"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Section 301 of the Indenture provides for various matters with respect to any series of Securities issued under the Indenture to be established in an indenture supplemental to the Indenture.</w:t>
      </w:r>
    </w:p>
    <w:p>
      <w:pPr>
        <w:spacing w:after="0" w:line="185" w:lineRule="exact"/>
        <w:rPr>
          <w:sz w:val="20"/>
          <w:szCs w:val="20"/>
          <w:color w:val="auto"/>
        </w:rPr>
      </w:pPr>
    </w:p>
    <w:p>
      <w:pPr>
        <w:ind w:right="2699" w:firstLine="977"/>
        <w:spacing w:after="0" w:line="249" w:lineRule="auto"/>
        <w:rPr>
          <w:sz w:val="20"/>
          <w:szCs w:val="20"/>
          <w:color w:val="auto"/>
        </w:rPr>
      </w:pPr>
      <w:r>
        <w:rPr>
          <w:rFonts w:ascii="Courier New" w:cs="Courier New" w:eastAsia="Courier New" w:hAnsi="Courier New"/>
          <w:sz w:val="16"/>
          <w:szCs w:val="16"/>
          <w:color w:val="auto"/>
        </w:rPr>
        <w:t>Section 901(7) of the Indenture provides for the Company and the Trustee to enter into an indenture supplemental to the Indenture to establish the form or terms of Securities of any series as provided by Sections 201 and 301 of the Indenture.</w:t>
      </w:r>
    </w:p>
    <w:p>
      <w:pPr>
        <w:spacing w:after="0" w:line="18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NOW, THEREFORE, THIS NINTH SUPPLEMENTAL INDENTURE WITNESSETH:</w:t>
      </w:r>
    </w:p>
    <w:p>
      <w:pPr>
        <w:spacing w:after="0" w:line="19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For and in consideration of the premises and the issuance of the series of Securities provided for herein, it is mutually agreed, for the equal and proportionate benefit of all Holders of the Securities of such series, as follows:</w:t>
      </w:r>
    </w:p>
    <w:p>
      <w:pPr>
        <w:spacing w:after="0" w:line="18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Relation to Indenture; Definitions</w:t>
      </w:r>
    </w:p>
    <w:p>
      <w:pPr>
        <w:spacing w:after="0" w:line="195" w:lineRule="exact"/>
        <w:rPr>
          <w:sz w:val="20"/>
          <w:szCs w:val="20"/>
          <w:color w:val="auto"/>
        </w:rPr>
      </w:pPr>
    </w:p>
    <w:p>
      <w:pPr>
        <w:ind w:right="2499" w:firstLine="977"/>
        <w:spacing w:after="0" w:line="252" w:lineRule="auto"/>
        <w:rPr>
          <w:sz w:val="20"/>
          <w:szCs w:val="20"/>
          <w:color w:val="auto"/>
        </w:rPr>
      </w:pPr>
      <w:r>
        <w:rPr>
          <w:rFonts w:ascii="Courier New" w:cs="Courier New" w:eastAsia="Courier New" w:hAnsi="Courier New"/>
          <w:sz w:val="16"/>
          <w:szCs w:val="16"/>
          <w:color w:val="auto"/>
        </w:rPr>
        <w:t>Section 1.1. RELATION TO INDENTURE. This Ninth Supplemental Indenture constitutes an integral part of the Indenture.</w:t>
      </w:r>
    </w:p>
    <w:p>
      <w:pPr>
        <w:spacing w:after="0" w:line="1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1.2. DEFINITIONS. For all purposes of this Ninth Supplemental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2" w:right="1440" w:bottom="1440" w:gutter="0" w:footer="0" w:header="0"/>
        </w:sectPr>
      </w:pPr>
    </w:p>
    <w:bookmarkStart w:id="35" w:name="page36"/>
    <w:bookmarkEnd w:id="35"/>
    <w:p>
      <w:pPr>
        <w:ind w:right="2699" w:firstLine="978"/>
        <w:spacing w:after="0" w:line="252" w:lineRule="auto"/>
        <w:tabs>
          <w:tab w:leader="none" w:pos="136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used herein without definition shall have the meanings specified in the Indenture;</w:t>
      </w:r>
    </w:p>
    <w:p>
      <w:pPr>
        <w:spacing w:after="0" w:line="183" w:lineRule="exact"/>
        <w:rPr>
          <w:rFonts w:ascii="Courier New" w:cs="Courier New" w:eastAsia="Courier New" w:hAnsi="Courier New"/>
          <w:sz w:val="16"/>
          <w:szCs w:val="16"/>
          <w:color w:val="auto"/>
        </w:rPr>
      </w:pPr>
    </w:p>
    <w:p>
      <w:pPr>
        <w:ind w:right="2599" w:firstLine="978"/>
        <w:spacing w:after="0" w:line="250" w:lineRule="auto"/>
        <w:tabs>
          <w:tab w:leader="none" w:pos="136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herein to Articles and Sections, unless otherwise specified, refer to the corresponding Articles and Sections of this Ninth Supplemental Indenture; and</w:t>
      </w:r>
    </w:p>
    <w:p>
      <w:pPr>
        <w:spacing w:after="0" w:line="185" w:lineRule="exact"/>
        <w:rPr>
          <w:rFonts w:ascii="Courier New" w:cs="Courier New" w:eastAsia="Courier New" w:hAnsi="Courier New"/>
          <w:sz w:val="16"/>
          <w:szCs w:val="16"/>
          <w:color w:val="auto"/>
        </w:rPr>
      </w:pPr>
    </w:p>
    <w:p>
      <w:pPr>
        <w:ind w:right="2979" w:firstLine="978"/>
        <w:spacing w:after="0" w:line="252" w:lineRule="auto"/>
        <w:tabs>
          <w:tab w:leader="none" w:pos="136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"herein," "hereof," "hereunder" and other words of similar import refer to this Ninth Supplemental Indenture.</w:t>
      </w:r>
    </w:p>
    <w:p>
      <w:pPr>
        <w:spacing w:after="0" w:line="1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Series of Securities</w:t>
      </w:r>
    </w:p>
    <w:p>
      <w:pPr>
        <w:spacing w:after="0" w:line="195" w:lineRule="exact"/>
        <w:rPr>
          <w:sz w:val="20"/>
          <w:szCs w:val="20"/>
          <w:color w:val="auto"/>
        </w:rPr>
      </w:pPr>
    </w:p>
    <w:p>
      <w:pPr>
        <w:ind w:right="2799" w:firstLine="977"/>
        <w:spacing w:after="0" w:line="252" w:lineRule="auto"/>
        <w:rPr>
          <w:sz w:val="20"/>
          <w:szCs w:val="20"/>
          <w:color w:val="auto"/>
        </w:rPr>
      </w:pPr>
      <w:r>
        <w:rPr>
          <w:rFonts w:ascii="Courier New" w:cs="Courier New" w:eastAsia="Courier New" w:hAnsi="Courier New"/>
          <w:sz w:val="16"/>
          <w:szCs w:val="16"/>
          <w:color w:val="auto"/>
        </w:rPr>
        <w:t>Section 2.1. TITLE OF THE SECURITIES. There shall be a series of Securities designated the "6.125% Senior Notes due 2032" (the "Securities").</w:t>
      </w:r>
    </w:p>
    <w:p>
      <w:pPr>
        <w:spacing w:after="0" w:line="183"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Section 2.2. LIMITATION ON AGGREGATE PRINCIPAL AMOUNT. The aggregate principal amount of the Securities shall initially be limited to $250,000,000. The Company may, without the consent of the holders of the Securities, issue additional Securities having the same interest rate, maturity date and other terms as described in the related prospectus supplement and prospectus. Any additional Securities, together with the Securities offered by the related prospectus supplement, will constitute a single series of Securities under the Indenture. No additional Securities may be issued if an Event of Default under the Indenture has occurred and is continuing with respect to the Securities.</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2.3. PRINCIPAL PAYMENT DATE. The principal amount of the Securities outstanding (together with any accrued and unpaid interest) shall be payable in a single installment on December 15, 2032, which date shall be the Stated Maturity of the Securities Outstanding.</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2.4. INTEREST AND INTEREST RATES. The rate of interest on each Security shall be 6.125% per annum, accruing from December 17, 2002, or from the most recent interest payment date (each such date, an "Interest Payment Date") to which interest has been paid or duly provided for, payable semiannually in arrears on June 15 and December 15 of each year commencing June 15, 2003 until the principal thereof shall have become due and payable, and until the principal thereof is paid or duly provided for or made available for payment. The amount of interest payable on any Interest Payment Date shall be computed on the basis of a 360-day year of twelve 30-day months. The amount of interest payable for any partial period shall be computed on the basis of the actual number of days elapsed in a 360-day year of twelve 30-day months. In the event that any date on which interest is payable on any Security is not a Business Day, then payment of interest payable on such date will be made on the next succeeding day that is a Business Day (and without any interest or other payment in respect of any such delay). A "Business Day" shall mean any day, other than a Saturday or Sunday, on which banks in the City of New York and Boston, Massachusetts are not required by law to close. The interest installment so payable in respect of any Security, and punctually paid or duly provided for, on any Interest Payment Date will, as provided in the Indenture, be paid to the person in whose name such Security (or one or more Predecessor Securities) is registered at the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056" w:right="1440" w:bottom="1440" w:gutter="0" w:footer="0" w:header="0"/>
        </w:sectPr>
      </w:pPr>
    </w:p>
    <w:bookmarkStart w:id="36" w:name="page37"/>
    <w:bookmarkEnd w:id="36"/>
    <w:p>
      <w:pPr>
        <w:ind w:right="2399"/>
        <w:spacing w:after="0" w:line="249" w:lineRule="auto"/>
        <w:rPr>
          <w:sz w:val="20"/>
          <w:szCs w:val="20"/>
          <w:color w:val="auto"/>
        </w:rPr>
      </w:pPr>
      <w:r>
        <w:rPr>
          <w:rFonts w:ascii="Courier New" w:cs="Courier New" w:eastAsia="Courier New" w:hAnsi="Courier New"/>
          <w:sz w:val="16"/>
          <w:szCs w:val="16"/>
          <w:color w:val="auto"/>
        </w:rPr>
        <w:t>close of business on June 1 or December 1 prior to such Interest Payment Date. Any such interest installment not punctually paid or duly provided for in respect of any Security shall forthwith cease to be payable to the registered Holder on such Regular Record Date and may either be paid to the Person in whose name such Security (or one or more Predecessor Securities) is registered at the close of business on a Special Record Date to be fixed by the Trustee for the payment of such Defaulted Interest, notice whereof shall be given to the Holders of this series of Securities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2.5. PLACE OF PAYMENT. The Place of Payment where the Securities may be presented or surrendered for payment, where the Securities may be surrendered for registration of transfer or exchange and where notices and demand to or upon the Company in respect of the Securities and the Indenture may be served shall be the Corporate Trust Office of the Trustee.</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2.6. REDEMPTION.</w:t>
      </w:r>
    </w:p>
    <w:p>
      <w:pPr>
        <w:spacing w:after="0" w:line="195" w:lineRule="exact"/>
        <w:rPr>
          <w:sz w:val="20"/>
          <w:szCs w:val="20"/>
          <w:color w:val="auto"/>
        </w:rPr>
      </w:pPr>
    </w:p>
    <w:p>
      <w:pPr>
        <w:ind w:right="2399" w:firstLine="978"/>
        <w:spacing w:after="0" w:line="249" w:lineRule="auto"/>
        <w:tabs>
          <w:tab w:leader="none" w:pos="136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redeem the Securities, in whole or in part, at any time at a redemption price equal to the greater of (i) 100% of the principal amount of such securities to be redeemed or (ii) an amount, as determined by an Independent Investment Banker, equal to the sum of the present values of the remaining scheduled payments of principal of and interest on the securities to be redeemed (not including any portion of such payments of interest accrued to the date of redemption) discounted to the redemption date on a semiannual basis (assuming a 360-day year consisting of twelve 30-day months) at the Adjusted Treasury Rate, plus 20 basis points, plus, in either of the above cases, accrued and unpaid interest thereon to the redemption date.</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2.6,</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"Adjusted Treasury Rate" means, with respect to any redemption date:</w:t>
      </w:r>
    </w:p>
    <w:p>
      <w:pPr>
        <w:spacing w:after="0" w:line="195" w:lineRule="exact"/>
        <w:rPr>
          <w:sz w:val="20"/>
          <w:szCs w:val="20"/>
          <w:color w:val="auto"/>
        </w:rPr>
      </w:pPr>
    </w:p>
    <w:p>
      <w:pPr>
        <w:ind w:left="1960" w:right="2399" w:hanging="982"/>
        <w:spacing w:after="0" w:line="249" w:lineRule="auto"/>
        <w:tabs>
          <w:tab w:leader="none" w:pos="1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yield, under the heading which represents the average for the immediately preceding week, appearing in the most recently published statistical release designated "H.15(519)" published by the Board of Governors of the Federal Reserve System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200" w:lineRule="exact"/>
        <w:rPr>
          <w:sz w:val="20"/>
          <w:szCs w:val="20"/>
          <w:color w:val="auto"/>
        </w:rPr>
      </w:pPr>
    </w:p>
    <w:p>
      <w:pPr>
        <w:spacing w:after="0" w:line="36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68" w:right="1440" w:bottom="1440" w:gutter="0" w:footer="0" w:header="0"/>
        </w:sectPr>
      </w:pPr>
    </w:p>
    <w:bookmarkStart w:id="37" w:name="page38"/>
    <w:bookmarkEnd w:id="37"/>
    <w:p>
      <w:pPr>
        <w:ind w:left="1960" w:right="2499" w:hanging="982"/>
        <w:spacing w:after="0" w:line="249" w:lineRule="auto"/>
        <w:tabs>
          <w:tab w:leader="none" w:pos="19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7"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The Adjusted Treasury Rate shall be calculated on the third business day preceding the redemption date.</w:t>
      </w:r>
    </w:p>
    <w:p>
      <w:pPr>
        <w:spacing w:after="0" w:line="1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securities to be redeemed that would be used, at the time of selection and in accordance with customary financial practice, in pricing new issues of corporate debt securities of comparable maturity to the remaining term of such securities ("Remaining Life").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"Comparable Treasury Price" means (i) the average of five Reference Treasury Dealer Quotations for such redemption date, after excluding the highest and lowest Reference Treasury Dealer Quotations, or (ii) if the Independent Investment Banker obtains fewer than five such Reference Treasury Dealer Quotations, the average of all such quotations.</w:t>
      </w:r>
    </w:p>
    <w:p>
      <w:pPr>
        <w:spacing w:after="0" w:line="187" w:lineRule="exact"/>
        <w:rPr>
          <w:sz w:val="20"/>
          <w:szCs w:val="20"/>
          <w:color w:val="auto"/>
        </w:rPr>
      </w:pPr>
    </w:p>
    <w:p>
      <w:pPr>
        <w:ind w:right="2699" w:firstLine="977"/>
        <w:spacing w:after="0" w:line="252" w:lineRule="auto"/>
        <w:rPr>
          <w:sz w:val="20"/>
          <w:szCs w:val="20"/>
          <w:color w:val="auto"/>
        </w:rPr>
      </w:pPr>
      <w:r>
        <w:rPr>
          <w:rFonts w:ascii="Courier New" w:cs="Courier New" w:eastAsia="Courier New" w:hAnsi="Courier New"/>
          <w:sz w:val="16"/>
          <w:szCs w:val="16"/>
          <w:color w:val="auto"/>
        </w:rPr>
        <w:t>"Independent Investment Banker" means one of the Reference Treasury Dealers appointed by us.</w:t>
      </w:r>
    </w:p>
    <w:p>
      <w:pPr>
        <w:spacing w:after="0" w:line="1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"Reference Treasury Dealer" means:</w:t>
      </w:r>
    </w:p>
    <w:p>
      <w:pPr>
        <w:spacing w:after="0" w:line="195" w:lineRule="exact"/>
        <w:rPr>
          <w:sz w:val="20"/>
          <w:szCs w:val="20"/>
          <w:color w:val="auto"/>
        </w:rPr>
      </w:pPr>
    </w:p>
    <w:p>
      <w:pPr>
        <w:ind w:left="1960" w:right="2499" w:hanging="982"/>
        <w:spacing w:after="0" w:line="249" w:lineRule="auto"/>
        <w:tabs>
          <w:tab w:leader="none" w:pos="1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Banc One Capital Markets, Inc. and UBS Warburg LLC and their respective successors; provided, however, that if any of the foregoing shall cease to be a primary U.S. Government securities dealer in the United States (a "Primary Treasury Dealer"), the Company shall substitute therefor another Primary Treasury Dealer; and</w:t>
      </w:r>
    </w:p>
    <w:p>
      <w:pPr>
        <w:spacing w:after="0" w:line="187" w:lineRule="exact"/>
        <w:rPr>
          <w:rFonts w:ascii="Courier New" w:cs="Courier New" w:eastAsia="Courier New" w:hAnsi="Courier New"/>
          <w:sz w:val="16"/>
          <w:szCs w:val="16"/>
          <w:color w:val="auto"/>
        </w:rPr>
      </w:pPr>
    </w:p>
    <w:p>
      <w:pPr>
        <w:ind w:left="1960" w:right="2799" w:hanging="982"/>
        <w:spacing w:after="0" w:line="252" w:lineRule="auto"/>
        <w:tabs>
          <w:tab w:leader="none" w:pos="1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three other Primary Treasury Dealers selected by the Company.</w:t>
      </w:r>
    </w:p>
    <w:p>
      <w:pPr>
        <w:spacing w:after="0" w:line="183"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375" w:lineRule="exact"/>
        <w:rPr>
          <w:sz w:val="20"/>
          <w:szCs w:val="20"/>
          <w:color w:val="auto"/>
        </w:rPr>
      </w:pPr>
    </w:p>
    <w:p>
      <w:pPr>
        <w:jc w:val="both"/>
        <w:ind w:right="2399" w:firstLine="977"/>
        <w:spacing w:after="0" w:line="249" w:lineRule="auto"/>
        <w:rPr>
          <w:sz w:val="20"/>
          <w:szCs w:val="20"/>
          <w:color w:val="auto"/>
        </w:rPr>
      </w:pPr>
      <w:r>
        <w:rPr>
          <w:rFonts w:ascii="Courier New" w:cs="Courier New" w:eastAsia="Courier New" w:hAnsi="Courier New"/>
          <w:sz w:val="16"/>
          <w:szCs w:val="16"/>
          <w:color w:val="auto"/>
        </w:rPr>
        <w:t>The Company will mail a notice of redemption at least 30 days but not more than 60 days before the redemption date to each holder of the securities to be redeemed. If less than all of the securities are to be redeemed, the trustee will select, by such method as it will deem fair and appropriate, including pro rata or by lot, the securities to be redeemed in whole or in part.</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8" w:right="1440" w:bottom="1440" w:gutter="0" w:footer="0" w:header="0"/>
        </w:sectPr>
      </w:pPr>
    </w:p>
    <w:bookmarkStart w:id="38" w:name="page39"/>
    <w:bookmarkEnd w:id="38"/>
    <w:p>
      <w:pPr>
        <w:ind w:right="2399" w:firstLine="977"/>
        <w:spacing w:after="0" w:line="250" w:lineRule="auto"/>
        <w:rPr>
          <w:sz w:val="20"/>
          <w:szCs w:val="20"/>
          <w:color w:val="auto"/>
        </w:rPr>
      </w:pPr>
      <w:r>
        <w:rPr>
          <w:rFonts w:ascii="Courier New" w:cs="Courier New" w:eastAsia="Courier New" w:hAnsi="Courier New"/>
          <w:sz w:val="16"/>
          <w:szCs w:val="16"/>
          <w:color w:val="auto"/>
        </w:rPr>
        <w:t>Unless the Company defaults in payment of the redemption price, on and after the redemption date, interest will cease to accrue on the securities or portions thereof called for redemption.</w:t>
      </w:r>
    </w:p>
    <w:p>
      <w:pPr>
        <w:spacing w:after="0" w:line="185" w:lineRule="exact"/>
        <w:rPr>
          <w:sz w:val="20"/>
          <w:szCs w:val="20"/>
          <w:color w:val="auto"/>
        </w:rPr>
      </w:pPr>
    </w:p>
    <w:p>
      <w:pPr>
        <w:ind w:right="2499" w:firstLine="977"/>
        <w:spacing w:after="0" w:line="250" w:lineRule="auto"/>
        <w:rPr>
          <w:sz w:val="20"/>
          <w:szCs w:val="20"/>
          <w:color w:val="auto"/>
        </w:rPr>
      </w:pPr>
      <w:r>
        <w:rPr>
          <w:rFonts w:ascii="Courier New" w:cs="Courier New" w:eastAsia="Courier New" w:hAnsi="Courier New"/>
          <w:sz w:val="16"/>
          <w:szCs w:val="16"/>
          <w:color w:val="auto"/>
        </w:rPr>
        <w:t>Section 2.7. DENOMINATION. The Securities of this series shall be issuable only in registered form without coupons and in denominations of $1,000 and integral multiples thereof.</w:t>
      </w:r>
    </w:p>
    <w:p>
      <w:pPr>
        <w:spacing w:after="0" w:line="185" w:lineRule="exact"/>
        <w:rPr>
          <w:sz w:val="20"/>
          <w:szCs w:val="20"/>
          <w:color w:val="auto"/>
        </w:rPr>
      </w:pPr>
    </w:p>
    <w:p>
      <w:pPr>
        <w:jc w:val="both"/>
        <w:ind w:right="2499" w:firstLine="977"/>
        <w:spacing w:after="0" w:line="250" w:lineRule="auto"/>
        <w:rPr>
          <w:sz w:val="20"/>
          <w:szCs w:val="20"/>
          <w:color w:val="auto"/>
        </w:rPr>
      </w:pPr>
      <w:r>
        <w:rPr>
          <w:rFonts w:ascii="Courier New" w:cs="Courier New" w:eastAsia="Courier New" w:hAnsi="Courier New"/>
          <w:sz w:val="16"/>
          <w:szCs w:val="16"/>
          <w:color w:val="auto"/>
        </w:rPr>
        <w:t>Section 2.8. CURRENCY. Principal and interest on the Securities shall be payable in such coin or currency of the United States of America that at the time of payment is legal tender for payment of public and private debts.</w:t>
      </w:r>
    </w:p>
    <w:p>
      <w:pPr>
        <w:spacing w:after="0" w:line="185" w:lineRule="exact"/>
        <w:rPr>
          <w:sz w:val="20"/>
          <w:szCs w:val="20"/>
          <w:color w:val="auto"/>
        </w:rPr>
      </w:pPr>
    </w:p>
    <w:p>
      <w:pPr>
        <w:ind w:right="2399" w:firstLine="977"/>
        <w:spacing w:after="0" w:line="252" w:lineRule="auto"/>
        <w:rPr>
          <w:sz w:val="20"/>
          <w:szCs w:val="20"/>
          <w:color w:val="auto"/>
        </w:rPr>
      </w:pPr>
      <w:r>
        <w:rPr>
          <w:rFonts w:ascii="Courier New" w:cs="Courier New" w:eastAsia="Courier New" w:hAnsi="Courier New"/>
          <w:sz w:val="16"/>
          <w:szCs w:val="16"/>
          <w:color w:val="auto"/>
        </w:rPr>
        <w:t>Section 2.9. FORM OF SECURITIES. The Securities shall be substantially in the form attached as EXHIBIT A hereto.</w:t>
      </w:r>
    </w:p>
    <w:p>
      <w:pPr>
        <w:spacing w:after="0" w:line="183" w:lineRule="exact"/>
        <w:rPr>
          <w:sz w:val="20"/>
          <w:szCs w:val="20"/>
          <w:color w:val="auto"/>
        </w:rPr>
      </w:pPr>
    </w:p>
    <w:p>
      <w:pPr>
        <w:ind w:right="2399" w:firstLine="977"/>
        <w:spacing w:after="0" w:line="252" w:lineRule="auto"/>
        <w:rPr>
          <w:sz w:val="20"/>
          <w:szCs w:val="20"/>
          <w:color w:val="auto"/>
        </w:rPr>
      </w:pPr>
      <w:r>
        <w:rPr>
          <w:rFonts w:ascii="Courier New" w:cs="Courier New" w:eastAsia="Courier New" w:hAnsi="Courier New"/>
          <w:sz w:val="16"/>
          <w:szCs w:val="16"/>
          <w:color w:val="auto"/>
        </w:rPr>
        <w:t>Section 2.10. SECURITIES REGISTRAR AND PAYING AGENT. The Trustee shall serve initially as Securities Registrar and Paying Agent.</w:t>
      </w:r>
    </w:p>
    <w:p>
      <w:pPr>
        <w:spacing w:after="0" w:line="1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2.11. SINKING FUND OBLIGATIONS. The Company has no obligation to redeem or purchase any Securities pursuant to any sinking fund or analogous requirement or upon the happening of a specified event or at the option of a Holder thereof.</w:t>
      </w:r>
    </w:p>
    <w:p>
      <w:pPr>
        <w:spacing w:after="0" w:line="188" w:lineRule="exact"/>
        <w:rPr>
          <w:sz w:val="20"/>
          <w:szCs w:val="20"/>
          <w:color w:val="auto"/>
        </w:rPr>
      </w:pPr>
    </w:p>
    <w:p>
      <w:pPr>
        <w:jc w:val="both"/>
        <w:ind w:right="2879" w:firstLine="977"/>
        <w:spacing w:after="0" w:line="250" w:lineRule="auto"/>
        <w:rPr>
          <w:sz w:val="20"/>
          <w:szCs w:val="20"/>
          <w:color w:val="auto"/>
        </w:rPr>
      </w:pPr>
      <w:r>
        <w:rPr>
          <w:rFonts w:ascii="Courier New" w:cs="Courier New" w:eastAsia="Courier New" w:hAnsi="Courier New"/>
          <w:sz w:val="16"/>
          <w:szCs w:val="16"/>
          <w:color w:val="auto"/>
        </w:rPr>
        <w:t>Section 2.12. DEFEASANCE AND COVENANT DEFEASANCE. The Company has elected to have both Section 1302 (relating to defeasance) and Section 1303 (relating to covenant defeasance) applied to the Securities.</w:t>
      </w:r>
    </w:p>
    <w:p>
      <w:pPr>
        <w:spacing w:after="0" w:line="185"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Section 2.13. IMMEDIATELY AVAILABLE FUNDS. All payments of principal and interest shall be made in immediately available funds.</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Expenses Section 3.1. PAYMENT OF EXPENSES. In connection with the offering, sale and issuance of the Securities, the Company, in its capacity as borrower with respect to the Securities, shall pay all costs and expenses relating to the offering, sale and issuance of the Securities, including commissions to the underwriters payable pursuant to the Underwriting Agreement, dated December 12, 2002, and compensation and expenses of the Trustee under the Indenture in accordance with the provisions of Section 607 of the Indenture.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3.2. PAYMENT UPON RESIGNATION OR REMOVAL. Upon termination of this Ninth Supplemental Indenture or the Indenture or the removal or resignation of the Trustee, unless otherwise stated, the Company shall pay to the Trustee all amounts accrued to the date of such termination, removal or resignation.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8" w:right="1440" w:bottom="1440" w:gutter="0" w:footer="0" w:header="0"/>
        </w:sectPr>
      </w:pPr>
    </w:p>
    <w:bookmarkStart w:id="39" w:name="page40"/>
    <w:bookmarkEnd w:id="39"/>
    <w:p>
      <w:pPr>
        <w:jc w:val="center"/>
        <w:ind w:right="2399"/>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4.1. TRUSTEE NOT RESPONSIBLE FOR RECITALS. The recitals herein contained are made by the Company and not by the Trustee, and the Trustee assumes no responsibility for the correctness thereof. The Trustee makes no representation as to the validity or sufficiency of this Ninth Supplemental Indenture.</w:t>
      </w:r>
    </w:p>
    <w:p>
      <w:pPr>
        <w:spacing w:after="0" w:line="187" w:lineRule="exact"/>
        <w:rPr>
          <w:sz w:val="20"/>
          <w:szCs w:val="20"/>
          <w:color w:val="auto"/>
        </w:rPr>
      </w:pPr>
    </w:p>
    <w:p>
      <w:pPr>
        <w:ind w:right="2599" w:firstLine="977"/>
        <w:spacing w:after="0" w:line="250" w:lineRule="auto"/>
        <w:rPr>
          <w:sz w:val="20"/>
          <w:szCs w:val="20"/>
          <w:color w:val="auto"/>
        </w:rPr>
      </w:pPr>
      <w:r>
        <w:rPr>
          <w:rFonts w:ascii="Courier New" w:cs="Courier New" w:eastAsia="Courier New" w:hAnsi="Courier New"/>
          <w:sz w:val="16"/>
          <w:szCs w:val="16"/>
          <w:color w:val="auto"/>
        </w:rPr>
        <w:t>Section 4.2. ADOPTION, RATIFICATION AND CONFIRMATION. The Indenture, as supplemented and amended by this Ninth Supplemental Indenture, is in all respects hereby adopted, ratified and confirmed.</w:t>
      </w:r>
    </w:p>
    <w:p>
      <w:pPr>
        <w:spacing w:after="0" w:line="185" w:lineRule="exact"/>
        <w:rPr>
          <w:sz w:val="20"/>
          <w:szCs w:val="20"/>
          <w:color w:val="auto"/>
        </w:rPr>
      </w:pPr>
    </w:p>
    <w:p>
      <w:pPr>
        <w:ind w:right="2499" w:firstLine="977"/>
        <w:spacing w:after="0" w:line="250" w:lineRule="auto"/>
        <w:rPr>
          <w:sz w:val="20"/>
          <w:szCs w:val="20"/>
          <w:color w:val="auto"/>
        </w:rPr>
      </w:pPr>
      <w:r>
        <w:rPr>
          <w:rFonts w:ascii="Courier New" w:cs="Courier New" w:eastAsia="Courier New" w:hAnsi="Courier New"/>
          <w:sz w:val="16"/>
          <w:szCs w:val="16"/>
          <w:color w:val="auto"/>
        </w:rPr>
        <w:t>Section 4.3. COUNTERPARTS. This Ninth Supplemental Indenture may be executed in any number of counterparts, each of which shall be an original, but such counterparts shall together constitute but one and the same instrument.</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4.4. GOVERNING LAW. THIS NINTH SUPPLEMENTAL INDENTURE AND EACH SECURITY SHALL BE DEEMED TO BE A CONTRACT MADE UNDER THE LAWS OF THE STATE OF NEW YORK AND SHALL BE GOVERNED BY AND CONSTRUED IN ACCORDANCE WITH THE LAWS OF THE STATE OF NEW YORK WITHOUT REGARD TO CONFLICTS OF LAWS PRINCIPLES THEREOF.</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056" w:right="1440" w:bottom="1440" w:gutter="0" w:footer="0" w:header="0"/>
        </w:sectPr>
      </w:pPr>
    </w:p>
    <w:bookmarkStart w:id="40" w:name="page41"/>
    <w:bookmarkEnd w:id="40"/>
    <w:p>
      <w:pPr>
        <w:ind w:right="2399" w:firstLine="977"/>
        <w:spacing w:after="0" w:line="249" w:lineRule="auto"/>
        <w:rPr>
          <w:sz w:val="20"/>
          <w:szCs w:val="20"/>
          <w:color w:val="auto"/>
        </w:rPr>
      </w:pPr>
      <w:r>
        <w:rPr>
          <w:rFonts w:ascii="Courier New" w:cs="Courier New" w:eastAsia="Courier New" w:hAnsi="Courier New"/>
          <w:sz w:val="16"/>
          <w:szCs w:val="16"/>
          <w:color w:val="auto"/>
        </w:rPr>
        <w:t>IN WITNESS WHEREOF, the parties hereto have caused this Ninth Supplemental Indenture to be duly executed, and their respective corporate seals to be hereunto affixed and attested, on the date or dates indicated in the acknowledgments and as of the day and year first above written.</w:t>
      </w:r>
    </w:p>
    <w:p>
      <w:pPr>
        <w:spacing w:after="0" w:line="188"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THE ALLSTATE CORPORATION</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STATE STREET BANK AND</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TRUST COMPANY, as Trustee</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056" w:right="1440" w:bottom="1440" w:gutter="0" w:footer="0" w:header="0"/>
        </w:sectPr>
      </w:pPr>
    </w:p>
    <w:bookmarkStart w:id="41" w:name="page42"/>
    <w:bookmarkEnd w:id="41"/>
    <w:p>
      <w:pPr>
        <w:jc w:val="right"/>
        <w:ind w:right="23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(FORM OF FACE OF SECURITY)</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limited circumstances.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Unless this Security is presented by an authorized representative of The Depository Trust Company (55 Water Street, New York, New York) to the issuer or its agent for registration of transfer, exchange or payment, and any Security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sectPr>
          <w:pgSz w:w="11900" w:h="16838" w:orient="portrait"/>
          <w:cols w:equalWidth="0" w:num="1">
            <w:col w:w="10219"/>
          </w:cols>
          <w:pgMar w:left="240" w:top="1056"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No. 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$250,000,000</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CUSIP No. 020002 AP 6</w:t>
      </w:r>
    </w:p>
    <w:p>
      <w:pPr>
        <w:spacing w:after="0" w:line="200" w:lineRule="exact"/>
        <w:rPr>
          <w:sz w:val="20"/>
          <w:szCs w:val="20"/>
          <w:color w:val="auto"/>
        </w:rPr>
      </w:pPr>
    </w:p>
    <w:p>
      <w:pPr>
        <w:sectPr>
          <w:pgSz w:w="11900" w:h="16838" w:orient="portrait"/>
          <w:cols w:equalWidth="0" w:num="2">
            <w:col w:w="4940" w:space="720"/>
            <w:col w:w="4559"/>
          </w:cols>
          <w:pgMar w:left="240" w:top="1056" w:right="1440" w:bottom="1440" w:gutter="0" w:footer="0" w:header="0"/>
          <w:type w:val="continuous"/>
        </w:sectPr>
      </w:pP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ALLSTATE CORPORATION</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6.125% Senior Notes due 2032</w:t>
      </w:r>
    </w:p>
    <w:p>
      <w:pPr>
        <w:sectPr>
          <w:pgSz w:w="11900" w:h="16838" w:orient="portrait"/>
          <w:cols w:equalWidth="0" w:num="1">
            <w:col w:w="10219"/>
          </w:cols>
          <w:pgMar w:left="240" w:top="1056" w:right="1440" w:bottom="1440" w:gutter="0" w:footer="0" w:header="0"/>
          <w:type w:val="continuous"/>
        </w:sectPr>
      </w:pPr>
    </w:p>
    <w:p>
      <w:pPr>
        <w:spacing w:after="0" w:line="195" w:lineRule="exact"/>
        <w:rPr>
          <w:sz w:val="20"/>
          <w:szCs w:val="20"/>
          <w:color w:val="auto"/>
        </w:rPr>
      </w:pPr>
    </w:p>
    <w:p>
      <w:pPr>
        <w:ind w:right="2399" w:firstLine="977"/>
        <w:spacing w:after="0" w:line="248" w:lineRule="auto"/>
        <w:rPr>
          <w:sz w:val="20"/>
          <w:szCs w:val="20"/>
          <w:color w:val="auto"/>
        </w:rPr>
      </w:pPr>
      <w:r>
        <w:rPr>
          <w:rFonts w:ascii="Courier New" w:cs="Courier New" w:eastAsia="Courier New" w:hAnsi="Courier New"/>
          <w:sz w:val="16"/>
          <w:szCs w:val="16"/>
          <w:color w:val="auto"/>
        </w:rPr>
        <w:t>THE ALLSTATE CORPORATION, a Delaware corporation (the "Company," which term includes any successor corporation under the Indenture hereinafter referred to), for value received, hereby promises to pay to CEDE &amp; CO. or registered assigns, the principal sum of TWO HUNDRED FIFTY MILLION DOLLARS AND NO CENTS ($250,000,000) on December 15, 2032. The Company further promises to pay interest on said principal sum outstanding from December 17, 2002, or from the most recent interest payment date (each such date, an "Interest Payment Date") to which interest has been paid or duly provided for, semiannually in arrears on June 15 and December 15 of each year commencing June 15, 2003 at the rate of</w:t>
      </w:r>
    </w:p>
    <w:p>
      <w:pPr>
        <w:spacing w:after="0" w:line="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6.125% per annum, until the principal hereof shall have become due and payable and, until the principal hereof is paid or duly provided for or made available for payment. The amount of interest payable on any Interest Payment Date shall be computed on the basis of a 360-day year of twelve 30-day months. The amount of interest payable for any partial period shall be computed on the basis of the number of actual days elapsed in a 360-day year of twelve 30-day months. In the event that any date on which interest is payable on this Security is not a Business Day, then payment of interest payable on such date will be made on the next succeeding day that is a Business Day (and without any interest or other payment in respect of any such delay). A "Business Day" shall mean any day, other than a Saturday or Sunday, on which the banks in the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1056" w:right="1440" w:bottom="1440" w:gutter="0" w:footer="0" w:header="0"/>
          <w:type w:val="continuous"/>
        </w:sectPr>
      </w:pPr>
    </w:p>
    <w:bookmarkStart w:id="42" w:name="page43"/>
    <w:bookmarkEnd w:id="42"/>
    <w:p>
      <w:pPr>
        <w:ind w:right="2399"/>
        <w:spacing w:after="0" w:line="249" w:lineRule="auto"/>
        <w:rPr>
          <w:sz w:val="20"/>
          <w:szCs w:val="20"/>
          <w:color w:val="auto"/>
        </w:rPr>
      </w:pPr>
      <w:r>
        <w:rPr>
          <w:rFonts w:ascii="Courier New" w:cs="Courier New" w:eastAsia="Courier New" w:hAnsi="Courier New"/>
          <w:sz w:val="16"/>
          <w:szCs w:val="16"/>
          <w:color w:val="auto"/>
        </w:rPr>
        <w:t>City of New York and Boston, Massachusetts are not required by law to close. The interest installment so payable, and punctually paid or duly provided for, on any Interest Payment Date will, as provided in the Indenture, be paid to the Person in whose name this Security (or one or more Predecessor Securities) is registered at the close of business on June 1 or December 1 prior to such Interest Payment Date. Any such interest installment not punctually paid or duly provided for shall forthwith cease to be payable to the registered Holder on such Regular Record Date and may either be paid to the Person in whose name this Security (or one or more Predecessor Securities) is registered at the close of business on a Special Record Date to be fixed by the Trustee for the payment of such Defaulted Interest, notice whereof shall be given to the Holder of this Security not less than 10 days prior to such Special Record Date, or be paid at any time in any other lawful manner not inconsistent with the requirements of any securities exchange on which this Security may be listed, and upon such notice as may be required by such exchange, all as more fully provided in the Indenture.</w:t>
      </w:r>
    </w:p>
    <w:p>
      <w:pPr>
        <w:spacing w:after="0" w:line="374"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The principal of (and premium, if any) and the interest on this Security shall be payable at the office or agency of the Company maintained for that purpose in the United States in such coin or currency of the United States of America that at the time of payment is legal tender for payment of public and private debts; PROVIDED, HOWEVER, that payment of interest may be made at the option of the Company by check mailed to the registered Holder at such address as shall appear in the Security Register. Notwithstanding the foregoing, so long as the Holder of this Security is Cede &amp; Co., the payment of the principal of (and premium, if any) and interest on this Security will be made at such place and to such account as may be designated by Cede &amp; Co. All payments of principal and interest hereunder shall be made in immediately available funds.</w:t>
      </w:r>
    </w:p>
    <w:p>
      <w:pPr>
        <w:spacing w:after="0" w:line="187"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for any purpose.</w:t>
      </w: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868" w:right="1440" w:bottom="1440" w:gutter="0" w:footer="0" w:header="0"/>
        </w:sectPr>
      </w:pPr>
    </w:p>
    <w:bookmarkStart w:id="43" w:name="page44"/>
    <w:bookmarkEnd w:id="43"/>
    <w:p>
      <w:pPr>
        <w:ind w:left="980"/>
        <w:spacing w:after="0"/>
        <w:rPr>
          <w:sz w:val="20"/>
          <w:szCs w:val="20"/>
          <w:color w:val="auto"/>
        </w:rPr>
      </w:pPr>
      <w:r>
        <w:rPr>
          <w:rFonts w:ascii="Courier New" w:cs="Courier New" w:eastAsia="Courier New" w:hAnsi="Courier New"/>
          <w:sz w:val="16"/>
          <w:szCs w:val="16"/>
          <w:color w:val="auto"/>
        </w:rPr>
        <w:t>IN WITNESS WHEREOF, the Company has caused this instrument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THE ALLSTATE CORPORATION</w:t>
      </w: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7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CERTIFICATE OF AUTHENTICATION</w:t>
      </w:r>
    </w:p>
    <w:p>
      <w:pPr>
        <w:spacing w:after="0" w:line="195" w:lineRule="exact"/>
        <w:rPr>
          <w:sz w:val="20"/>
          <w:szCs w:val="20"/>
          <w:color w:val="auto"/>
        </w:rPr>
      </w:pPr>
    </w:p>
    <w:p>
      <w:pPr>
        <w:ind w:right="2399" w:firstLine="977"/>
        <w:spacing w:after="0" w:line="252"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17, 2002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1056" w:right="1440" w:bottom="1440" w:gutter="0" w:footer="0" w:header="0"/>
        </w:sectPr>
      </w:pPr>
    </w:p>
    <w:bookmarkStart w:id="44" w:name="page45"/>
    <w:bookmarkEnd w:id="44"/>
    <w:p>
      <w:pPr>
        <w:ind w:left="2540"/>
        <w:spacing w:after="0"/>
        <w:rPr>
          <w:sz w:val="20"/>
          <w:szCs w:val="20"/>
          <w:color w:val="auto"/>
        </w:rPr>
      </w:pPr>
      <w:r>
        <w:rPr>
          <w:rFonts w:ascii="Courier New" w:cs="Courier New" w:eastAsia="Courier New" w:hAnsi="Courier New"/>
          <w:sz w:val="16"/>
          <w:szCs w:val="16"/>
          <w:color w:val="auto"/>
        </w:rPr>
        <w:t>(FORM OF REVERSE OF SECURITY)</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designated as its 6.125% Senior Notes due 2032 (herein referred to as the "Securities"), issued under and pursuant to an Indenture, dated as of December 16, 1997 between the Company and State Street Bank and Trust Company, as Trustee (herein called the "Trustee," which term includes any successor trustee under the Indenture), as amended by the Third Supplemental Indenture dated as of July 23, 1999 and the Sixth Supplemental Indenture dated as of June 12, 2000 and as supplemented by the Ninth Supplemental Indenture, dated as of December 17, 2002, between the Company and the Trustee (the Indenture as so amended and supplemented, the "Indenture"), to which Indenture and all indentures supplemental thereto reference is hereby made for a description of the rights, limitations of rights, obligations, duties and immunities thereunder of the Trustee, the Company and the Holders of the Securities, and of the terms upon which the Securities are, and are to be, authenticated and delivered.</w:t>
      </w:r>
    </w:p>
    <w:p>
      <w:pPr>
        <w:spacing w:after="0" w:line="375" w:lineRule="exact"/>
        <w:rPr>
          <w:sz w:val="20"/>
          <w:szCs w:val="20"/>
          <w:color w:val="auto"/>
        </w:rPr>
      </w:pPr>
    </w:p>
    <w:p>
      <w:pPr>
        <w:ind w:right="2879" w:firstLine="977"/>
        <w:spacing w:after="0" w:line="252" w:lineRule="auto"/>
        <w:rPr>
          <w:sz w:val="20"/>
          <w:szCs w:val="20"/>
          <w:color w:val="auto"/>
        </w:rPr>
      </w:pPr>
      <w:r>
        <w:rPr>
          <w:rFonts w:ascii="Courier New" w:cs="Courier New" w:eastAsia="Courier New" w:hAnsi="Courier New"/>
          <w:sz w:val="16"/>
          <w:szCs w:val="16"/>
          <w:color w:val="auto"/>
        </w:rPr>
        <w:t>All terms used in this Security that are defined in the Indenture shall have the meanings assigned to them in the Indenture.</w:t>
      </w:r>
    </w:p>
    <w:p>
      <w:pPr>
        <w:spacing w:after="0" w:line="371"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The Company may redeem the Securities, in whole or in part, at any time at a redemption price equal to the greater of (i) 100% of the principal amount of such securities to be redeemed or (ii) an amount, as determined by an Independent Investment Banker, equal to the sum of the present values of the remaining scheduled payments of principal of and interest on the securities to be redeemed (not including any portion of such payments of interest accrued to the date of redemption) discounted to the redemption date on a semiannual basis assuming a 360-day year consisting of twelve 30-day months) at the Adjusted Treasury Rate, plus 20 basis points, plus, in either of the above cases, accrued and unpaid interest thereon to the redemption date.</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"Adjusted Treasury Rate" means, with respect to any redemption date:</w:t>
      </w:r>
    </w:p>
    <w:p>
      <w:pPr>
        <w:spacing w:after="0" w:line="195" w:lineRule="exact"/>
        <w:rPr>
          <w:sz w:val="20"/>
          <w:szCs w:val="20"/>
          <w:color w:val="auto"/>
        </w:rPr>
      </w:pPr>
    </w:p>
    <w:p>
      <w:pPr>
        <w:ind w:left="1960" w:right="2399" w:hanging="982"/>
        <w:spacing w:after="0" w:line="249" w:lineRule="auto"/>
        <w:tabs>
          <w:tab w:leader="none" w:pos="1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yield, under the heading which represents the average for the immediately preceding week, appearing in the most recently published statistical release designated "H.15(519)" published by the Board of Governors of the Federal Reserve System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200" w:lineRule="exact"/>
        <w:rPr>
          <w:sz w:val="20"/>
          <w:szCs w:val="20"/>
          <w:color w:val="auto"/>
        </w:rPr>
      </w:pPr>
    </w:p>
    <w:p>
      <w:pPr>
        <w:spacing w:after="0" w:line="36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1056" w:right="1440" w:bottom="1440" w:gutter="0" w:footer="0" w:header="0"/>
        </w:sectPr>
      </w:pPr>
    </w:p>
    <w:bookmarkStart w:id="45" w:name="page46"/>
    <w:bookmarkEnd w:id="45"/>
    <w:p>
      <w:pPr>
        <w:ind w:left="1960" w:right="2499" w:hanging="982"/>
        <w:spacing w:after="0" w:line="249" w:lineRule="auto"/>
        <w:tabs>
          <w:tab w:leader="none" w:pos="1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7"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The Adjusted Treasury Rate shall be calculated on the third business day preceding the redemption date.</w:t>
      </w:r>
    </w:p>
    <w:p>
      <w:pPr>
        <w:spacing w:after="0" w:line="1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securities to be redeemed that would be used, at the time of selection and in accordance with customary financial practice, in pricing new issues of corporate debt securities of comparable maturity to the remaining term of such securities ("Remaining Life").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"Comparable Treasury Price" means (i) the average of five Reference Treasury Dealer Quotations for such redemption date, after excluding the highest and lowest Reference Treasury Dealer Quotations, or (ii) if the Independent Investment Banker obtains fewer than five such Reference Treasury Dealer Quotations, the average of all such quotations.</w:t>
      </w:r>
    </w:p>
    <w:p>
      <w:pPr>
        <w:spacing w:after="0" w:line="187" w:lineRule="exact"/>
        <w:rPr>
          <w:sz w:val="20"/>
          <w:szCs w:val="20"/>
          <w:color w:val="auto"/>
        </w:rPr>
      </w:pPr>
    </w:p>
    <w:p>
      <w:pPr>
        <w:ind w:right="2699" w:firstLine="977"/>
        <w:spacing w:after="0" w:line="252" w:lineRule="auto"/>
        <w:rPr>
          <w:sz w:val="20"/>
          <w:szCs w:val="20"/>
          <w:color w:val="auto"/>
        </w:rPr>
      </w:pPr>
      <w:r>
        <w:rPr>
          <w:rFonts w:ascii="Courier New" w:cs="Courier New" w:eastAsia="Courier New" w:hAnsi="Courier New"/>
          <w:sz w:val="16"/>
          <w:szCs w:val="16"/>
          <w:color w:val="auto"/>
        </w:rPr>
        <w:t>"Independent Investment Banker" means one of the Reference Treasury Dealers appointed by us.</w:t>
      </w:r>
    </w:p>
    <w:p>
      <w:pPr>
        <w:spacing w:after="0" w:line="1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"Reference Treasury Dealer" means:</w:t>
      </w:r>
    </w:p>
    <w:p>
      <w:pPr>
        <w:spacing w:after="0" w:line="195" w:lineRule="exact"/>
        <w:rPr>
          <w:sz w:val="20"/>
          <w:szCs w:val="20"/>
          <w:color w:val="auto"/>
        </w:rPr>
      </w:pPr>
    </w:p>
    <w:p>
      <w:pPr>
        <w:ind w:left="1960" w:right="2499" w:hanging="982"/>
        <w:spacing w:after="0" w:line="249" w:lineRule="auto"/>
        <w:tabs>
          <w:tab w:leader="none" w:pos="1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Banc One Capital Markets, Inc. and UBS Warburg LLC and their respective successors; provided, however, that if any of the foregoing shall cease to be a primary U.S. Government securities dealer in the United States (a "Primary Treasury Dealer"), the Company shall substitute therefor another Primary Treasury Dealer; and</w:t>
      </w:r>
    </w:p>
    <w:p>
      <w:pPr>
        <w:spacing w:after="0" w:line="187" w:lineRule="exact"/>
        <w:rPr>
          <w:rFonts w:ascii="Courier New" w:cs="Courier New" w:eastAsia="Courier New" w:hAnsi="Courier New"/>
          <w:sz w:val="16"/>
          <w:szCs w:val="16"/>
          <w:color w:val="auto"/>
        </w:rPr>
      </w:pPr>
    </w:p>
    <w:p>
      <w:pPr>
        <w:ind w:left="1960" w:right="2799" w:hanging="982"/>
        <w:spacing w:after="0" w:line="252" w:lineRule="auto"/>
        <w:tabs>
          <w:tab w:leader="none" w:pos="1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three other Primary Treasury Dealers selected by the Company.</w:t>
      </w:r>
    </w:p>
    <w:p>
      <w:pPr>
        <w:spacing w:after="0" w:line="183"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375" w:lineRule="exact"/>
        <w:rPr>
          <w:sz w:val="20"/>
          <w:szCs w:val="20"/>
          <w:color w:val="auto"/>
        </w:rPr>
      </w:pPr>
    </w:p>
    <w:p>
      <w:pPr>
        <w:jc w:val="both"/>
        <w:ind w:right="2399" w:firstLine="977"/>
        <w:spacing w:after="0" w:line="249" w:lineRule="auto"/>
        <w:rPr>
          <w:sz w:val="20"/>
          <w:szCs w:val="20"/>
          <w:color w:val="auto"/>
        </w:rPr>
      </w:pPr>
      <w:r>
        <w:rPr>
          <w:rFonts w:ascii="Courier New" w:cs="Courier New" w:eastAsia="Courier New" w:hAnsi="Courier New"/>
          <w:sz w:val="16"/>
          <w:szCs w:val="16"/>
          <w:color w:val="auto"/>
        </w:rPr>
        <w:t>The Company will mail a notice of redemption at least 30 days but not more than 60 days before the redemption date to each holder of the securities to be redeemed. If less than all of the securities are to be redeemed, the trustee will select, by such method as it will deem fair and appropriate, including pro rata or by lot, the securities to be redeemed in whole or in part.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1056" w:right="1440" w:bottom="1440" w:gutter="0" w:footer="0" w:header="0"/>
        </w:sectPr>
      </w:pPr>
    </w:p>
    <w:bookmarkStart w:id="46" w:name="page47"/>
    <w:bookmarkEnd w:id="46"/>
    <w:p>
      <w:pPr>
        <w:ind w:right="2399" w:firstLine="977"/>
        <w:spacing w:after="0" w:line="250" w:lineRule="auto"/>
        <w:rPr>
          <w:sz w:val="20"/>
          <w:szCs w:val="20"/>
          <w:color w:val="auto"/>
        </w:rPr>
      </w:pPr>
      <w:r>
        <w:rPr>
          <w:rFonts w:ascii="Courier New" w:cs="Courier New" w:eastAsia="Courier New" w:hAnsi="Courier New"/>
          <w:sz w:val="16"/>
          <w:szCs w:val="16"/>
          <w:color w:val="auto"/>
        </w:rPr>
        <w:t>Unless we default in payment of the redemption price, on and after the redemption date, interest will cease to accrue on the securities or portions thereof called for redemption.</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If an Event of Default with respect to Securities of this series shall occur and be continuing, the principal of the Securities of this series may be declared due and payable in the manner, with the effect and subject to the conditions provided in the Indenture.</w:t>
      </w:r>
    </w:p>
    <w:p>
      <w:pPr>
        <w:spacing w:after="0" w:line="188" w:lineRule="exact"/>
        <w:rPr>
          <w:sz w:val="20"/>
          <w:szCs w:val="20"/>
          <w:color w:val="auto"/>
        </w:rPr>
      </w:pPr>
    </w:p>
    <w:p>
      <w:pPr>
        <w:ind w:right="2699" w:firstLine="977"/>
        <w:spacing w:after="0" w:line="250" w:lineRule="auto"/>
        <w:rPr>
          <w:sz w:val="20"/>
          <w:szCs w:val="20"/>
          <w:color w:val="auto"/>
        </w:rPr>
      </w:pPr>
      <w:r>
        <w:rPr>
          <w:rFonts w:ascii="Courier New" w:cs="Courier New" w:eastAsia="Courier New" w:hAnsi="Courier New"/>
          <w:sz w:val="16"/>
          <w:szCs w:val="16"/>
          <w:color w:val="auto"/>
        </w:rPr>
        <w:t>The Indenture contains provisions for satisfaction, discharge and defeasance at any time of the entire indebtedness of this Security upon compliance by the Company with certain conditions set forth in the Indenture.</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of each series at the time Outstanding of each series to be affected. The Indenture also contains provisions permitting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 No reference herein to the Indenture and no provision of this Security or of the Indenture (other than Section 1302 and Section 1303 of the Indenture) shall alter or impair the obligation of the Company to pay the principal and interest on the Security at the times, place and rate, and in the coin or currency, herein prescribed.</w:t>
      </w:r>
    </w:p>
    <w:p>
      <w:pPr>
        <w:spacing w:after="0" w:line="374"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in the Securities Register, upon surrender of this Security for registration of transfer at the office or agency of the Company maintained under Section 1002 of the Indenture duly endorsed by, or accompanied by a written instrument of transfer, in form satisfactory to the Company and the Securities Registrar, duly executed by the Holder hereof or his or her attorney duly authorized in writing, and thereupon one or more new Securities of this series,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37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80" w:right="1440" w:bottom="1440" w:gutter="0" w:footer="0" w:header="0"/>
        </w:sectPr>
      </w:pPr>
    </w:p>
    <w:bookmarkStart w:id="47" w:name="page48"/>
    <w:bookmarkEnd w:id="47"/>
    <w:p>
      <w:pPr>
        <w:ind w:right="2399" w:firstLine="977"/>
        <w:spacing w:after="0" w:line="249" w:lineRule="auto"/>
        <w:rPr>
          <w:sz w:val="20"/>
          <w:szCs w:val="20"/>
          <w:color w:val="auto"/>
        </w:rPr>
      </w:pPr>
      <w:r>
        <w:rPr>
          <w:rFonts w:ascii="Courier New" w:cs="Courier New" w:eastAsia="Courier New" w:hAnsi="Courier New"/>
          <w:sz w:val="16"/>
          <w:szCs w:val="16"/>
          <w:color w:val="auto"/>
        </w:rPr>
        <w:t>This Global Security is exchangeable for Securities in definitive form only under certain limited circumstances set forth in the Indenture. Securities of this series so issued are issuable only in registered form without coupons in denominations of $1,000 and any integral multiple thereof. As provided in the Indenture and subject to certain limitations herein and therein set forth, Securities of this series so issued are exchangeable for a like aggregate principal amount of Securities of this series of a different authorized denomination, as requested by the Holder surrendering the same.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The Company and, by its acceptance of this Security or a beneficial interest therein, the Holder of, and any Person that acquires a beneficial interest in, this Security agree that for United States federal, state and local tax purposes it is intended that this Security constitute indebtedness.</w:t>
      </w:r>
    </w:p>
    <w:p>
      <w:pPr>
        <w:spacing w:after="0" w:line="188" w:lineRule="exact"/>
        <w:rPr>
          <w:sz w:val="20"/>
          <w:szCs w:val="20"/>
          <w:color w:val="auto"/>
        </w:rPr>
      </w:pPr>
    </w:p>
    <w:p>
      <w:pPr>
        <w:ind w:right="2499" w:firstLine="977"/>
        <w:spacing w:after="0" w:line="252" w:lineRule="auto"/>
        <w:rPr>
          <w:sz w:val="20"/>
          <w:szCs w:val="20"/>
          <w:color w:val="auto"/>
        </w:rPr>
      </w:pPr>
      <w:r>
        <w:rPr>
          <w:rFonts w:ascii="Courier New" w:cs="Courier New" w:eastAsia="Courier New" w:hAnsi="Courier New"/>
          <w:sz w:val="16"/>
          <w:szCs w:val="16"/>
          <w:color w:val="auto"/>
        </w:rPr>
        <w:t>THE INTERNAL LAWS OF THE STATE OF NEW YORK SHALL GOVERN THE INDENTURE AND THE SECURITIES WITHOUT REGARD TO CONFLICT OF LAW PROVISIONS THEREOF.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80" w:right="1440" w:bottom="1440" w:gutter="0" w:footer="0" w:header="0"/>
        </w:sectPr>
      </w:pPr>
    </w:p>
    <w:bookmarkStart w:id="48" w:name="page49"/>
    <w:bookmarkEnd w:id="48"/>
    <w:p>
      <w:pPr>
        <w:spacing w:after="0" w:line="44"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5.1</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LeBOEUF, LAMB, GREENE &amp; MacRAE L.L.P.</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 LIMITED LIABILITY PARTNERSHIP INCLUDING PROFESSIONAL CORPORATIONS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125 West 55th Street</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New York, NY 10019-5389</w:t>
      </w:r>
    </w:p>
    <w:p>
      <w:pPr>
        <w:spacing w:after="0" w:line="7" w:lineRule="exact"/>
        <w:rPr>
          <w:sz w:val="20"/>
          <w:szCs w:val="20"/>
          <w:color w:val="auto"/>
        </w:rPr>
      </w:pPr>
    </w:p>
    <w:p>
      <w:pPr>
        <w:ind w:left="3820" w:hanging="594"/>
        <w:spacing w:after="0"/>
        <w:tabs>
          <w:tab w:leader="none" w:pos="38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424-8000</w:t>
      </w:r>
    </w:p>
    <w:p>
      <w:pPr>
        <w:spacing w:after="0" w:line="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Facsimile: (212) 424-8500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December 13, 2002</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Allstate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2775 Sanders Road</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6"/>
          <w:szCs w:val="16"/>
          <w:color w:val="auto"/>
        </w:rPr>
        <w:t>Northbrook, Illinois</w:t>
        <w:tab/>
        <w:t>60062</w:t>
      </w:r>
    </w:p>
    <w:p>
      <w:pPr>
        <w:sectPr>
          <w:pgSz w:w="11900" w:h="16883" w:orient="portrait"/>
          <w:cols w:equalWidth="0" w:num="1">
            <w:col w:w="10219"/>
          </w:cols>
          <w:pgMar w:left="240" w:top="142" w:right="1440" w:bottom="0" w:gutter="0" w:footer="0" w:header="0"/>
        </w:sectPr>
      </w:pP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Allstate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6.125% Senior Notes due 2032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83" w:orient="portrait"/>
          <w:cols w:equalWidth="0" w:num="2">
            <w:col w:w="1180" w:space="580"/>
            <w:col w:w="84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We have acted as special counsel for The Allstate Corporation, a Delaware corporation (the "Company"), in connection with the issuance and sale by the Company of an aggregate of $250,000,000 principal amount of the Company's 6.125% Senior Notes due 2032 (the "Securities") pursuant to the Indenture, dated as of December 16, 1997, as amended by the Third Supplemental Indenture, dated as of July 23, 1999, and the Sixth Supplemental Indenture, dated as of June 12, 2000, and as supplemented by the Ninth Supplemental Indenture, to be dated as of December 17, 2002 (the "Indenture"), between the Company and State Street Bank and Trust Company, as trustee (the "Trustee").</w:t>
      </w:r>
    </w:p>
    <w:p>
      <w:pPr>
        <w:spacing w:after="0" w:line="187" w:lineRule="exact"/>
        <w:rPr>
          <w:sz w:val="20"/>
          <w:szCs w:val="20"/>
          <w:color w:val="auto"/>
        </w:rPr>
      </w:pPr>
    </w:p>
    <w:p>
      <w:pPr>
        <w:ind w:right="2499" w:firstLine="977"/>
        <w:spacing w:after="0" w:line="248" w:lineRule="auto"/>
        <w:rPr>
          <w:sz w:val="20"/>
          <w:szCs w:val="20"/>
          <w:color w:val="auto"/>
        </w:rPr>
      </w:pPr>
      <w:r>
        <w:rPr>
          <w:rFonts w:ascii="Courier New" w:cs="Courier New" w:eastAsia="Courier New" w:hAnsi="Courier New"/>
          <w:sz w:val="16"/>
          <w:szCs w:val="16"/>
          <w:color w:val="auto"/>
        </w:rPr>
        <w:t>In connection therewith, we have examined (a) the Registration Statement on Form S-3 (File No. 333-39640), as amended (the "Registration Statement") filed by the Company and the other related registrants with the Securities and Exchange Commission (the "Commission") under the Securities Act of 1933, as amended (the "Act"), (b) the prospectus of the Company dated June 19, 2000, as supplemented by a prospectus supplement, dated December 12, 2002, relating to the Securities, as filed in final form with the Commission on December 13, 2002, pursuant to Rule 424(b) under the Act (the "Prospectus") and</w:t>
      </w:r>
    </w:p>
    <w:p>
      <w:pPr>
        <w:spacing w:after="0" w:line="5" w:lineRule="exact"/>
        <w:rPr>
          <w:sz w:val="20"/>
          <w:szCs w:val="20"/>
          <w:color w:val="auto"/>
        </w:rPr>
      </w:pPr>
    </w:p>
    <w:p>
      <w:pPr>
        <w:ind w:right="2399"/>
        <w:spacing w:after="0" w:line="250" w:lineRule="auto"/>
        <w:tabs>
          <w:tab w:leader="none" w:pos="39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In addition, we have examined the originals (or copies certified or otherwise identified to our satisfaction) of such other agreements, instruments, certificates, documents and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Allstate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13,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71"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records and have reviewed such questions of law and made such inquiries as we have deemed necessary or appropriate for the purposes of the opinions rendered herein.</w:t>
      </w:r>
    </w:p>
    <w:p>
      <w:pPr>
        <w:spacing w:after="0" w:line="18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In such examination, we have assumed, without inquiry, the legal capacity of all natural persons, the genuineness of all signatures on all documents examined by us, the authenticity of all documents submitted to us as originals, the conformity to the original documents of all such documents submitted to us as copies and the authenticity of the originals of such latter documents. We have also assumed that the books and records of the Company are maintained in accordance with proper corporate procedures. As to any facts material to our opinion, we have, when relevant facts were not independently established, relied upon the aforesaid agreements, instruments, certificates, documents and records and upon statements and certificates of officers and representatives of the Company and public officials.</w:t>
      </w:r>
    </w:p>
    <w:p>
      <w:pPr>
        <w:spacing w:after="0" w:line="187" w:lineRule="exact"/>
        <w:rPr>
          <w:sz w:val="20"/>
          <w:szCs w:val="20"/>
          <w:color w:val="auto"/>
        </w:rPr>
      </w:pPr>
    </w:p>
    <w:p>
      <w:pPr>
        <w:ind w:right="3079" w:firstLine="977"/>
        <w:spacing w:after="0" w:line="252" w:lineRule="auto"/>
        <w:rPr>
          <w:sz w:val="20"/>
          <w:szCs w:val="20"/>
          <w:color w:val="auto"/>
        </w:rPr>
      </w:pPr>
      <w:r>
        <w:rPr>
          <w:rFonts w:ascii="Courier New" w:cs="Courier New" w:eastAsia="Courier New" w:hAnsi="Courier New"/>
          <w:sz w:val="16"/>
          <w:szCs w:val="16"/>
          <w:color w:val="auto"/>
        </w:rPr>
        <w:t>Based upon the foregoing, and subject to the limitations, qualifications and assumptions stated herein, we are of the opinion that:</w:t>
      </w:r>
    </w:p>
    <w:p>
      <w:pPr>
        <w:spacing w:after="0" w:line="1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The Securities have been duly authorized and (assuming their due authentication by the Trustee) when they have been duly executed, issued and delivered, will constitute valid and legally binding obligations of the Company entitled to the benefits provided by the Indenture.</w:t>
      </w:r>
    </w:p>
    <w:p>
      <w:pPr>
        <w:spacing w:after="0" w:line="188" w:lineRule="exact"/>
        <w:rPr>
          <w:sz w:val="20"/>
          <w:szCs w:val="20"/>
          <w:color w:val="auto"/>
        </w:rPr>
      </w:pPr>
    </w:p>
    <w:p>
      <w:pPr>
        <w:jc w:val="both"/>
        <w:ind w:right="2599" w:firstLine="977"/>
        <w:spacing w:after="0" w:line="250" w:lineRule="auto"/>
        <w:rPr>
          <w:sz w:val="20"/>
          <w:szCs w:val="20"/>
          <w:color w:val="auto"/>
        </w:rPr>
      </w:pPr>
      <w:r>
        <w:rPr>
          <w:rFonts w:ascii="Courier New" w:cs="Courier New" w:eastAsia="Courier New" w:hAnsi="Courier New"/>
          <w:sz w:val="16"/>
          <w:szCs w:val="16"/>
          <w:color w:val="auto"/>
        </w:rPr>
        <w:t>The opinions rendered herein are limited to the laws of the State of New York, the General Corporation Law of the State of Delaware and the Federal law of the United States.</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We consent to the filing of this opinion as an exhibit to the Company's Current Report on Form 8-K dated December 13, 2002, which is incorporated by reference into the Registration Statements and the Final Prospectus and to the use of our name under the caption "Legal Opinions" contained in the Final Prospectus. In giving our consent, we do not thereby concede that we come within the category of persons whose consent is required by</w:t>
      </w:r>
    </w:p>
    <w:p>
      <w:pPr>
        <w:sectPr>
          <w:pgSz w:w="11900" w:h="16883" w:orient="portrait"/>
          <w:cols w:equalWidth="0" w:num="1">
            <w:col w:w="10219"/>
          </w:cols>
          <w:pgMar w:left="240" w:top="142" w:right="1440" w:bottom="0"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the Securities Act or the General Rules and Regulations promulgated thereunder.</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/s/ LeBoeuf, Lamb, Greene &amp; MacRae, L.L.P.</w:t>
      </w:r>
    </w:p>
    <w:p>
      <w:pPr>
        <w:sectPr>
          <w:pgSz w:w="11900" w:h="16838" w:orient="portrait"/>
          <w:cols w:equalWidth="0" w:num="1">
            <w:col w:w="10219"/>
          </w:cols>
          <w:pgMar w:left="240" w:top="142" w:right="1440" w:bottom="1440" w:gutter="0" w:footer="0" w:header="0"/>
          <w:type w:val="continuous"/>
        </w:sectPr>
      </w:pPr>
    </w:p>
    <w:bookmarkStart w:id="50" w:name="page51"/>
    <w:bookmarkEnd w:id="50"/>
    <w:p>
      <w:pPr>
        <w:ind w:left="6840"/>
        <w:spacing w:after="0"/>
        <w:rPr>
          <w:sz w:val="20"/>
          <w:szCs w:val="20"/>
          <w:color w:val="auto"/>
        </w:rPr>
      </w:pPr>
      <w:r>
        <w:rPr>
          <w:rFonts w:ascii="Courier New" w:cs="Courier New" w:eastAsia="Courier New" w:hAnsi="Courier New"/>
          <w:sz w:val="16"/>
          <w:szCs w:val="16"/>
          <w:color w:val="auto"/>
        </w:rPr>
        <w:t>Exhibit 12</w:t>
      </w:r>
    </w:p>
    <w:p>
      <w:pPr>
        <w:spacing w:after="0" w:line="19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THE ALLSTATE CORPORATION</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COMPUTATION OF EARNINGS TO FIXED CHARGES RATIO</w:t>
      </w:r>
    </w:p>
    <w:p>
      <w:pPr>
        <w:sectPr>
          <w:pgSz w:w="11900" w:h="16838" w:orient="portrait"/>
          <w:cols w:equalWidth="0" w:num="1">
            <w:col w:w="11520"/>
          </w:cols>
          <w:pgMar w:left="240" w:top="706" w:right="1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the nine months ended</w:t>
      </w:r>
    </w:p>
    <w:p>
      <w:pPr>
        <w:spacing w:after="0" w:line="7" w:lineRule="exact"/>
        <w:rPr>
          <w:sz w:val="20"/>
          <w:szCs w:val="20"/>
          <w:color w:val="auto"/>
        </w:rPr>
      </w:pPr>
    </w:p>
    <w:p>
      <w:pPr>
        <w:ind w:left="480"/>
        <w:spacing w:after="0"/>
        <w:tabs>
          <w:tab w:leader="none" w:pos="292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6"/>
          <w:szCs w:val="16"/>
          <w:color w:val="auto"/>
        </w:rPr>
        <w:t>For the Year ended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4460" w:space="720"/>
            <w:col w:w="6340"/>
          </w:cols>
          <w:pgMar w:left="240" w:top="706" w:right="139" w:bottom="1440" w:gutter="0" w:footer="0" w:header="0"/>
          <w:type w:val="continuous"/>
        </w:sectPr>
      </w:pPr>
    </w:p>
    <w:p>
      <w:pPr>
        <w:ind w:left="5380"/>
        <w:spacing w:after="0"/>
        <w:rPr>
          <w:sz w:val="20"/>
          <w:szCs w:val="20"/>
          <w:color w:val="auto"/>
        </w:rPr>
      </w:pPr>
      <w:r>
        <w:rPr>
          <w:rFonts w:ascii="Courier New" w:cs="Courier New" w:eastAsia="Courier New" w:hAnsi="Courier New"/>
          <w:sz w:val="16"/>
          <w:szCs w:val="16"/>
          <w:color w:val="auto"/>
        </w:rPr>
        <w:t>2002</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00"/>
        <w:spacing w:after="0"/>
        <w:tabs>
          <w:tab w:leader="none" w:pos="1440" w:val="left"/>
          <w:tab w:leader="none" w:pos="272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5"/>
          <w:szCs w:val="15"/>
          <w:color w:val="auto"/>
        </w:rPr>
        <w:t>1999</w:t>
      </w:r>
    </w:p>
    <w:p>
      <w:pPr>
        <w:spacing w:after="0" w:line="7" w:lineRule="exact"/>
        <w:rPr>
          <w:sz w:val="20"/>
          <w:szCs w:val="20"/>
          <w:color w:val="auto"/>
        </w:rPr>
      </w:pPr>
    </w:p>
    <w:p>
      <w:pPr>
        <w:spacing w:after="0"/>
        <w:tabs>
          <w:tab w:leader="none" w:pos="1140" w:val="left"/>
          <w:tab w:leader="none" w:pos="2520"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6160" w:space="300"/>
            <w:col w:w="960" w:space="500"/>
            <w:col w:w="3600"/>
          </w:cols>
          <w:pgMar w:left="240" w:top="706" w:right="139" w:bottom="1440" w:gutter="0" w:footer="0" w:header="0"/>
          <w:type w:val="continuous"/>
        </w:sectPr>
      </w:pPr>
    </w:p>
    <w:p>
      <w:pPr>
        <w:ind w:left="480" w:right="6440" w:hanging="480"/>
        <w:spacing w:after="0" w:line="248"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continuing operations before income taxes, equity in net income of unconsolidated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subsidiary, dividends 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redeemable</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preferred</w:t>
            </w: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8"/>
        </w:trPr>
        <w:tc>
          <w:tcPr>
            <w:tcW w:w="340" w:type="dxa"/>
            <w:vAlign w:val="bottom"/>
          </w:tcPr>
          <w:p>
            <w:pPr>
              <w:spacing w:after="0"/>
              <w:rPr>
                <w:sz w:val="16"/>
                <w:szCs w:val="16"/>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securities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of subsidiary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trusts and</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cumulative</w:t>
            </w: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47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effect of change in accounting principle</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$1,133</w:t>
            </w:r>
          </w:p>
        </w:tc>
        <w:tc>
          <w:tcPr>
            <w:tcW w:w="13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$1,285</w:t>
            </w:r>
          </w:p>
        </w:tc>
        <w:tc>
          <w:tcPr>
            <w:tcW w:w="13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$3,047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$3,907</w:t>
            </w:r>
          </w:p>
        </w:tc>
      </w:tr>
      <w:tr>
        <w:trPr>
          <w:trHeight w:val="376"/>
        </w:trPr>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2.</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Dividends</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from less than 50% owned</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subsidiary</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left="580" w:hanging="580"/>
        <w:spacing w:after="0"/>
        <w:tabs>
          <w:tab w:leader="none" w:pos="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continuing operations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income taxes (1+2)</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$1,133</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$990</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$1,285</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$3,047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$3,907</w:t>
            </w:r>
          </w:p>
        </w:tc>
      </w:tr>
      <w:tr>
        <w:trPr>
          <w:trHeight w:val="188"/>
        </w:trPr>
        <w:tc>
          <w:tcPr>
            <w:tcW w:w="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00" w:type="dxa"/>
            <w:vAlign w:val="bottom"/>
          </w:tcPr>
          <w:p>
            <w:pPr>
              <w:spacing w:after="0"/>
              <w:rPr>
                <w:sz w:val="24"/>
                <w:szCs w:val="24"/>
                <w:color w:val="auto"/>
              </w:rPr>
            </w:pP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Fixed Charges:</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6"/>
        </w:trPr>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4.</w:t>
            </w: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Interest on indebtedness</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$186</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$248</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w:t>
            </w:r>
          </w:p>
        </w:tc>
      </w:tr>
      <w:tr>
        <w:trPr>
          <w:trHeight w:val="376"/>
        </w:trPr>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5.</w:t>
            </w: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Interest factor of annual rental expense</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46</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r>
      <w:tr>
        <w:trPr>
          <w:trHeight w:val="188"/>
        </w:trPr>
        <w:tc>
          <w:tcPr>
            <w:tcW w:w="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6.</w:t>
            </w: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Total fixed charges  (4+5)</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$253</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$232</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$305</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w:t>
            </w:r>
          </w:p>
        </w:tc>
      </w:tr>
      <w:tr>
        <w:trPr>
          <w:trHeight w:val="188"/>
        </w:trPr>
        <w:tc>
          <w:tcPr>
            <w:tcW w:w="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7.</w:t>
            </w: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Dividends on redeemable preferred securities</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45</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w:t>
            </w:r>
          </w:p>
        </w:tc>
      </w:tr>
      <w:tr>
        <w:trPr>
          <w:trHeight w:val="376"/>
        </w:trPr>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8.</w:t>
            </w: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Total fixed charges and dividends on</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8"/>
        </w:trPr>
        <w:tc>
          <w:tcPr>
            <w:tcW w:w="400" w:type="dxa"/>
            <w:vAlign w:val="bottom"/>
          </w:tcPr>
          <w:p>
            <w:pPr>
              <w:spacing w:after="0"/>
              <w:rPr>
                <w:sz w:val="16"/>
                <w:szCs w:val="16"/>
                <w:color w:val="auto"/>
              </w:rPr>
            </w:pPr>
          </w:p>
        </w:tc>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redeemable preferred securities (6+7)</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$264</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$277</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$374</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w:t>
            </w:r>
          </w:p>
        </w:tc>
      </w:tr>
      <w:tr>
        <w:trPr>
          <w:trHeight w:val="188"/>
        </w:trPr>
        <w:tc>
          <w:tcPr>
            <w:tcW w:w="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left="580" w:hanging="580"/>
        <w:spacing w:after="0"/>
        <w:tabs>
          <w:tab w:leader="none" w:pos="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continuing operations before</w:t>
      </w:r>
    </w:p>
    <w:p>
      <w:pPr>
        <w:sectPr>
          <w:pgSz w:w="11900" w:h="16838" w:orient="portrait"/>
          <w:cols w:equalWidth="0" w:num="1">
            <w:col w:w="11520"/>
          </w:cols>
          <w:pgMar w:left="240" w:top="706" w:right="139" w:bottom="1440" w:gutter="0" w:footer="0" w:header="0"/>
          <w:type w:val="continuous"/>
        </w:sectPr>
      </w:pP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income taxes and fixed charges (3+6)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$1,386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line="252" w:lineRule="auto"/>
        <w:rPr>
          <w:sz w:val="20"/>
          <w:szCs w:val="20"/>
          <w:color w:val="auto"/>
        </w:rPr>
      </w:pPr>
      <w:r>
        <w:rPr>
          <w:rFonts w:ascii="Courier New" w:cs="Courier New" w:eastAsia="Courier New" w:hAnsi="Courier New"/>
          <w:sz w:val="16"/>
          <w:szCs w:val="16"/>
          <w:color w:val="auto"/>
        </w:rPr>
        <w:t>$1,222 ==========</w:t>
      </w:r>
    </w:p>
    <w:p>
      <w:pPr>
        <w:spacing w:after="0" w:line="20" w:lineRule="exact"/>
        <w:rPr>
          <w:sz w:val="20"/>
          <w:szCs w:val="20"/>
          <w:color w:val="auto"/>
        </w:rPr>
      </w:pPr>
      <w:r>
        <w:rPr>
          <w:sz w:val="20"/>
          <w:szCs w:val="20"/>
          <w:color w:val="auto"/>
        </w:rPr>
        <w:br w:type="column"/>
      </w:r>
    </w:p>
    <w:p>
      <w:pPr>
        <w:jc w:val="both"/>
        <w:ind w:right="180" w:firstLine="293"/>
        <w:spacing w:after="0" w:line="252" w:lineRule="auto"/>
        <w:rPr>
          <w:sz w:val="20"/>
          <w:szCs w:val="20"/>
          <w:color w:val="auto"/>
        </w:rPr>
      </w:pPr>
      <w:r>
        <w:rPr>
          <w:rFonts w:ascii="Courier New" w:cs="Courier New" w:eastAsia="Courier New" w:hAnsi="Courier New"/>
          <w:sz w:val="16"/>
          <w:szCs w:val="16"/>
          <w:color w:val="auto"/>
        </w:rPr>
        <w:t>$1,590 $3,326 $4,086 ========= =========== ==========</w:t>
      </w:r>
    </w:p>
    <w:p>
      <w:pPr>
        <w:spacing w:after="0" w:line="183" w:lineRule="exact"/>
        <w:rPr>
          <w:sz w:val="20"/>
          <w:szCs w:val="20"/>
          <w:color w:val="auto"/>
        </w:rPr>
      </w:pPr>
    </w:p>
    <w:p>
      <w:pPr>
        <w:sectPr>
          <w:pgSz w:w="11900" w:h="16838" w:orient="portrait"/>
          <w:cols w:equalWidth="0" w:num="4">
            <w:col w:w="4360" w:space="720"/>
            <w:col w:w="980" w:space="300"/>
            <w:col w:w="980" w:space="480"/>
            <w:col w:w="3700"/>
          </w:cols>
          <w:pgMar w:left="240" w:top="706" w:right="139" w:bottom="1440" w:gutter="0" w:footer="0" w:header="0"/>
          <w:type w:val="continuous"/>
        </w:sectPr>
      </w:pPr>
    </w:p>
    <w:p>
      <w:pPr>
        <w:ind w:left="580" w:hanging="580"/>
        <w:spacing w:after="0"/>
        <w:tabs>
          <w:tab w:leader="none" w:pos="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Ratio of earnings to fixed charges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interest credited to contractholder funds (A)</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300" w:type="dxa"/>
            <w:vAlign w:val="bottom"/>
          </w:tcPr>
          <w:p>
            <w:pPr>
              <w:ind w:left="40"/>
              <w:spacing w:after="0"/>
              <w:rPr>
                <w:sz w:val="20"/>
                <w:szCs w:val="20"/>
                <w:color w:val="auto"/>
              </w:rPr>
            </w:pPr>
            <w:r>
              <w:rPr>
                <w:rFonts w:ascii="Courier New" w:cs="Courier New" w:eastAsia="Courier New" w:hAnsi="Courier New"/>
                <w:sz w:val="16"/>
                <w:szCs w:val="16"/>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X</w:t>
            </w:r>
          </w:p>
        </w:tc>
      </w:tr>
      <w:tr>
        <w:trPr>
          <w:trHeight w:val="188"/>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r>
      <w:tr>
        <w:trPr>
          <w:trHeight w:val="376"/>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11.</w:t>
            </w: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Interest credited to contractholder funds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$1,316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$1,292</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$1,733</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$1,503</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$1,362</w:t>
            </w:r>
          </w:p>
        </w:tc>
        <w:tc>
          <w:tcPr>
            <w:tcW w:w="140" w:type="dxa"/>
            <w:vAlign w:val="bottom"/>
          </w:tcPr>
          <w:p>
            <w:pPr>
              <w:spacing w:after="0"/>
              <w:rPr>
                <w:sz w:val="24"/>
                <w:szCs w:val="24"/>
                <w:color w:val="auto"/>
              </w:rPr>
            </w:pPr>
          </w:p>
        </w:tc>
      </w:tr>
      <w:tr>
        <w:trPr>
          <w:trHeight w:val="376"/>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12.</w:t>
            </w: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Total fixed charges including dividends on</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440" w:type="dxa"/>
            <w:vAlign w:val="bottom"/>
          </w:tcPr>
          <w:p>
            <w:pPr>
              <w:spacing w:after="0"/>
              <w:rPr>
                <w:sz w:val="16"/>
                <w:szCs w:val="16"/>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redeemable preferred securities and interest</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credited to contractholder funds (8+11)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$1,580</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$1,569</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$2,107</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$1,845</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c>
          <w:tcPr>
            <w:tcW w:w="14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r>
      <w:tr>
        <w:trPr>
          <w:trHeight w:val="376"/>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13.</w:t>
            </w: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Income from continuing operations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440" w:type="dxa"/>
            <w:vAlign w:val="bottom"/>
          </w:tcPr>
          <w:p>
            <w:pPr>
              <w:spacing w:after="0"/>
              <w:rPr>
                <w:sz w:val="16"/>
                <w:szCs w:val="16"/>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before income taxes and fixed charges</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including interest credited to</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contractholder funds (3+6+11)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$2,702</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$2,514</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$3,323</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$4,829</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$5,448</w:t>
            </w:r>
          </w:p>
        </w:tc>
        <w:tc>
          <w:tcPr>
            <w:tcW w:w="140" w:type="dxa"/>
            <w:vAlign w:val="bottom"/>
          </w:tcPr>
          <w:p>
            <w:pPr>
              <w:spacing w:after="0"/>
              <w:rPr>
                <w:sz w:val="16"/>
                <w:szCs w:val="16"/>
                <w:color w:val="auto"/>
              </w:rPr>
            </w:pPr>
          </w:p>
        </w:tc>
      </w:tr>
      <w:tr>
        <w:trPr>
          <w:trHeight w:val="188"/>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r>
      <w:tr>
        <w:trPr>
          <w:trHeight w:val="376"/>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14.</w:t>
            </w:r>
          </w:p>
        </w:tc>
        <w:tc>
          <w:tcPr>
            <w:tcW w:w="4600" w:type="dxa"/>
            <w:vAlign w:val="bottom"/>
          </w:tcPr>
          <w:p>
            <w:pPr>
              <w:ind w:left="140"/>
              <w:spacing w:after="0"/>
              <w:rPr>
                <w:sz w:val="20"/>
                <w:szCs w:val="20"/>
                <w:color w:val="auto"/>
              </w:rPr>
            </w:pPr>
            <w:r>
              <w:rPr>
                <w:rFonts w:ascii="Courier New" w:cs="Courier New" w:eastAsia="Courier New" w:hAnsi="Courier New"/>
                <w:sz w:val="16"/>
                <w:szCs w:val="16"/>
                <w:color w:val="auto"/>
              </w:rPr>
              <w:t>Ratio of earnings to fixed charges (13/12)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300" w:type="dxa"/>
            <w:vAlign w:val="bottom"/>
          </w:tcPr>
          <w:p>
            <w:pPr>
              <w:ind w:left="40"/>
              <w:spacing w:after="0"/>
              <w:rPr>
                <w:sz w:val="20"/>
                <w:szCs w:val="20"/>
                <w:color w:val="auto"/>
              </w:rPr>
            </w:pPr>
            <w:r>
              <w:rPr>
                <w:rFonts w:ascii="Courier New" w:cs="Courier New" w:eastAsia="Courier New" w:hAnsi="Courier New"/>
                <w:sz w:val="16"/>
                <w:szCs w:val="16"/>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X</w:t>
            </w:r>
          </w:p>
        </w:tc>
      </w:tr>
      <w:tr>
        <w:trPr>
          <w:trHeight w:val="188"/>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ind w:left="580" w:right="3900" w:hanging="580"/>
        <w:spacing w:after="0" w:line="249" w:lineRule="auto"/>
        <w:tabs>
          <w:tab w:leader="none" w:pos="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authority to issue up to 25,000,000 shares of preferred stock, par value $1.00 per share; however, there are currently no shares outstanding and the Company does not have a preferred stock dividend obligation. Therefore, the Ratio of Earnings to Fixed Charges and Preferred Stock Dividends is equal to the Ratio of Earnings to Fixed Charges and is not disclosed separately.</w:t>
      </w:r>
    </w:p>
    <w:sectPr>
      <w:pgSz w:w="11900" w:h="16838" w:orient="portrait"/>
      <w:cols w:equalWidth="0" w:num="1">
        <w:col w:w="11520"/>
      </w:cols>
      <w:pgMar w:left="240" w:top="70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3"/>
    </w:lvl>
  </w:abstractNum>
  <w:abstractNum w:abstractNumId="1">
    <w:nsid w:val="836C40E"/>
    <w:multiLevelType w:val="hybridMultilevel"/>
    <w:lvl w:ilvl="0">
      <w:lvlJc w:val="left"/>
      <w:lvlText w:val="1"/>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2"/>
    </w:lvl>
  </w:abstractNum>
  <w:abstractNum w:abstractNumId="6">
    <w:nsid w:val="7C3DBD3D"/>
    <w:multiLevelType w:val="hybridMultilevel"/>
    <w:lvl w:ilvl="0">
      <w:lvlJc w:val="left"/>
      <w:lvlText w:val="(%1)"/>
      <w:numFmt w:val="lowerLetter"/>
      <w:start w:val="4"/>
    </w:lvl>
  </w:abstractNum>
  <w:abstractNum w:abstractNumId="7">
    <w:nsid w:val="737B8DDC"/>
    <w:multiLevelType w:val="hybridMultilevel"/>
    <w:lvl w:ilvl="0">
      <w:lvlJc w:val="left"/>
      <w:lvlText w:val="(%1)"/>
      <w:numFmt w:val="lowerLetter"/>
      <w:start w:val="8"/>
    </w:lvl>
  </w:abstractNum>
  <w:abstractNum w:abstractNumId="8">
    <w:nsid w:val="6CEAF087"/>
    <w:multiLevelType w:val="hybridMultilevel"/>
    <w:lvl w:ilvl="0">
      <w:lvlJc w:val="left"/>
      <w:lvlText w:val="(%1)"/>
      <w:numFmt w:val="lowerLetter"/>
      <w:start w:val="14"/>
    </w:lvl>
  </w:abstractNum>
  <w:abstractNum w:abstractNumId="9">
    <w:nsid w:val="22221A70"/>
    <w:multiLevelType w:val="hybridMultilevel"/>
    <w:lvl w:ilvl="0">
      <w:lvlJc w:val="left"/>
      <w:lvlText w:val="%1."/>
      <w:numFmt w:val="decimal"/>
      <w:start w:val="4"/>
    </w:lvl>
  </w:abstractNum>
  <w:abstractNum w:abstractNumId="10">
    <w:nsid w:val="4516DDE9"/>
    <w:multiLevelType w:val="hybridMultilevel"/>
    <w:lvl w:ilvl="0">
      <w:lvlJc w:val="left"/>
      <w:lvlText w:val="%1."/>
      <w:numFmt w:val="decimal"/>
      <w:start w:val="5"/>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3"/>
    </w:lvl>
  </w:abstractNum>
  <w:abstractNum w:abstractNumId="13">
    <w:nsid w:val="419AC241"/>
    <w:multiLevelType w:val="hybridMultilevel"/>
    <w:lvl w:ilvl="0">
      <w:lvlJc w:val="left"/>
      <w:lvlText w:val="%1."/>
      <w:numFmt w:val="decimal"/>
      <w:start w:val="6"/>
    </w:lvl>
  </w:abstractNum>
  <w:abstractNum w:abstractNumId="14">
    <w:nsid w:val="5577F8E1"/>
    <w:multiLevelType w:val="hybridMultilevel"/>
    <w:lvl w:ilvl="0">
      <w:lvlJc w:val="left"/>
      <w:lvlText w:val="(%1)"/>
      <w:numFmt w:val="lowerRoman"/>
      <w:start w:val="2"/>
    </w:lvl>
  </w:abstractNum>
  <w:abstractNum w:abstractNumId="15">
    <w:nsid w:val="440BADFC"/>
    <w:multiLevelType w:val="hybridMultilevel"/>
    <w:lvl w:ilvl="0">
      <w:lvlJc w:val="left"/>
      <w:lvlText w:val="(%1)"/>
      <w:numFmt w:val="lowerRoman"/>
      <w:start w:val="8"/>
    </w:lvl>
  </w:abstractNum>
  <w:abstractNum w:abstractNumId="16">
    <w:nsid w:val="5072367"/>
    <w:multiLevelType w:val="hybridMultilevel"/>
    <w:lvl w:ilvl="0">
      <w:lvlJc w:val="left"/>
      <w:lvlText w:val="%1."/>
      <w:numFmt w:val="decimal"/>
      <w:start w:val="7"/>
    </w:lvl>
  </w:abstractNum>
  <w:abstractNum w:abstractNumId="17">
    <w:nsid w:val="3804823E"/>
    <w:multiLevelType w:val="hybridMultilevel"/>
    <w:lvl w:ilvl="0">
      <w:lvlJc w:val="left"/>
      <w:lvlText w:val="(%1)"/>
      <w:numFmt w:val="lowerLetter"/>
      <w:start w:val="1"/>
    </w:lvl>
    <w:lvl w:ilvl="1">
      <w:lvlJc w:val="left"/>
      <w:lvlText w:val="(%2)"/>
      <w:numFmt w:val="lowerRoman"/>
      <w:start w:val="1"/>
    </w:lvl>
  </w:abstractNum>
  <w:abstractNum w:abstractNumId="18">
    <w:nsid w:val="77465F01"/>
    <w:multiLevelType w:val="hybridMultilevel"/>
    <w:lvl w:ilvl="0">
      <w:lvlJc w:val="left"/>
      <w:lvlText w:val="(%1)"/>
      <w:numFmt w:val="lowerRoman"/>
      <w:start w:val="4"/>
    </w:lvl>
  </w:abstractNum>
  <w:abstractNum w:abstractNumId="19">
    <w:nsid w:val="7724C67E"/>
    <w:multiLevelType w:val="hybridMultilevel"/>
    <w:lvl w:ilvl="0">
      <w:lvlJc w:val="left"/>
      <w:lvlText w:val="%1"/>
      <w:numFmt w:val="lowerLetter"/>
      <w:start w:val="1"/>
    </w:lvl>
    <w:lvl w:ilvl="1">
      <w:lvlJc w:val="left"/>
      <w:lvlText w:val="(%2)"/>
      <w:numFmt w:val="lowerRoman"/>
      <w:start w:val="7"/>
    </w:lvl>
  </w:abstractNum>
  <w:abstractNum w:abstractNumId="20">
    <w:nsid w:val="5C482A97"/>
    <w:multiLevelType w:val="hybridMultilevel"/>
    <w:lvl w:ilvl="0">
      <w:lvlJc w:val="left"/>
      <w:lvlText w:val="(%1)"/>
      <w:numFmt w:val="lowerLetter"/>
      <w:start w:val="3"/>
    </w:lvl>
    <w:lvl w:ilvl="1">
      <w:lvlJc w:val="left"/>
      <w:lvlText w:val="(%2)"/>
      <w:numFmt w:val="lowerRoman"/>
      <w:start w:val="1"/>
    </w:lvl>
  </w:abstractNum>
  <w:abstractNum w:abstractNumId="21">
    <w:nsid w:val="2463B9EA"/>
    <w:multiLevelType w:val="hybridMultilevel"/>
    <w:lvl w:ilvl="0">
      <w:lvlJc w:val="left"/>
      <w:lvlText w:val="(%1)"/>
      <w:numFmt w:val="lowerRoman"/>
      <w:start w:val="4"/>
    </w:lvl>
  </w:abstractNum>
  <w:abstractNum w:abstractNumId="22">
    <w:nsid w:val="5E884ADC"/>
    <w:multiLevelType w:val="hybridMultilevel"/>
    <w:lvl w:ilvl="0">
      <w:lvlJc w:val="left"/>
      <w:lvlText w:val="(%1)"/>
      <w:numFmt w:val="upperLetter"/>
      <w:start w:val="2"/>
    </w:lvl>
    <w:lvl w:ilvl="1">
      <w:lvlJc w:val="left"/>
      <w:lvlText w:val="(%2)"/>
      <w:numFmt w:val="lowerRoman"/>
      <w:start w:val="7"/>
    </w:lvl>
  </w:abstractNum>
  <w:abstractNum w:abstractNumId="23">
    <w:nsid w:val="51EAD36B"/>
    <w:multiLevelType w:val="hybridMultilevel"/>
    <w:lvl w:ilvl="0">
      <w:lvlJc w:val="left"/>
      <w:lvlText w:val="(%1)"/>
      <w:numFmt w:val="lowerRoman"/>
      <w:start w:val="9"/>
    </w:lvl>
  </w:abstractNum>
  <w:abstractNum w:abstractNumId="24">
    <w:nsid w:val="2D517796"/>
    <w:multiLevelType w:val="hybridMultilevel"/>
    <w:lvl w:ilvl="0">
      <w:lvlJc w:val="left"/>
      <w:lvlText w:val="(%1)"/>
      <w:numFmt w:val="lowerRoman"/>
      <w:start w:val="11"/>
    </w:lvl>
  </w:abstractNum>
  <w:abstractNum w:abstractNumId="25">
    <w:nsid w:val="580BD78F"/>
    <w:multiLevelType w:val="hybridMultilevel"/>
    <w:lvl w:ilvl="0">
      <w:lvlJc w:val="left"/>
      <w:lvlText w:val="(%1)"/>
      <w:numFmt w:val="lowerLetter"/>
      <w:start w:val="4"/>
    </w:lvl>
    <w:lvl w:ilvl="1">
      <w:lvlJc w:val="left"/>
      <w:lvlText w:val="(%2)"/>
      <w:numFmt w:val="lowerRoman"/>
      <w:start w:val="1"/>
    </w:lvl>
  </w:abstractNum>
  <w:abstractNum w:abstractNumId="26">
    <w:nsid w:val="153EA438"/>
    <w:multiLevelType w:val="hybridMultilevel"/>
    <w:lvl w:ilvl="0">
      <w:lvlJc w:val="left"/>
      <w:lvlText w:val="(%1)"/>
      <w:numFmt w:val="lowerLetter"/>
      <w:start w:val="7"/>
    </w:lvl>
  </w:abstractNum>
  <w:abstractNum w:abstractNumId="27">
    <w:nsid w:val="3855585C"/>
    <w:multiLevelType w:val="hybridMultilevel"/>
    <w:lvl w:ilvl="0">
      <w:lvlJc w:val="left"/>
      <w:lvlText w:val="%1."/>
      <w:numFmt w:val="decimal"/>
      <w:start w:val="9"/>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2"/>
    </w:lvl>
  </w:abstractNum>
  <w:abstractNum w:abstractNumId="30">
    <w:nsid w:val="2A487CB0"/>
    <w:multiLevelType w:val="hybridMultilevel"/>
    <w:lvl w:ilvl="0">
      <w:lvlJc w:val="left"/>
      <w:lvlText w:val="(%1)"/>
      <w:numFmt w:val="lowerLetter"/>
      <w:start w:val="4"/>
    </w:lvl>
  </w:abstractNum>
  <w:abstractNum w:abstractNumId="31">
    <w:nsid w:val="1D4ED43B"/>
    <w:multiLevelType w:val="hybridMultilevel"/>
    <w:lvl w:ilvl="0">
      <w:lvlJc w:val="left"/>
      <w:lvlText w:val="%1."/>
      <w:numFmt w:val="decimal"/>
      <w:start w:val="10"/>
    </w:lvl>
  </w:abstractNum>
  <w:abstractNum w:abstractNumId="32">
    <w:nsid w:val="725A06FB"/>
    <w:multiLevelType w:val="hybridMultilevel"/>
    <w:lvl w:ilvl="0">
      <w:lvlJc w:val="left"/>
      <w:lvlText w:val="%1."/>
      <w:numFmt w:val="decimal"/>
      <w:start w:val="11"/>
    </w:lvl>
  </w:abstractNum>
  <w:abstractNum w:abstractNumId="33">
    <w:nsid w:val="2CD89A32"/>
    <w:multiLevelType w:val="hybridMultilevel"/>
    <w:lvl w:ilvl="0">
      <w:lvlJc w:val="left"/>
      <w:lvlText w:val="(%1)"/>
      <w:numFmt w:val="lowerRoman"/>
      <w:start w:val="1"/>
    </w:lvl>
  </w:abstractNum>
  <w:abstractNum w:abstractNumId="34">
    <w:nsid w:val="57E4CCAF"/>
    <w:multiLevelType w:val="hybridMultilevel"/>
    <w:lvl w:ilvl="0">
      <w:lvlJc w:val="left"/>
      <w:lvlText w:val="%1."/>
      <w:numFmt w:val="decimal"/>
      <w:start w:val="12"/>
    </w:lvl>
  </w:abstractNum>
  <w:abstractNum w:abstractNumId="35">
    <w:nsid w:val="7A6D8D3C"/>
    <w:multiLevelType w:val="hybridMultilevel"/>
    <w:lvl w:ilvl="0">
      <w:lvlJc w:val="left"/>
      <w:lvlText w:val="%1."/>
      <w:numFmt w:val="decimal"/>
      <w:start w:val="14"/>
    </w:lvl>
  </w:abstractNum>
  <w:abstractNum w:abstractNumId="36">
    <w:nsid w:val="4B588F54"/>
    <w:multiLevelType w:val="hybridMultilevel"/>
    <w:lvl w:ilvl="0">
      <w:lvlJc w:val="left"/>
      <w:lvlText w:val="%1."/>
      <w:numFmt w:val="decimal"/>
      <w:start w:val="17"/>
    </w:lvl>
  </w:abstractNum>
  <w:abstractNum w:abstractNumId="37">
    <w:nsid w:val="542289EC"/>
    <w:multiLevelType w:val="hybridMultilevel"/>
    <w:lvl w:ilvl="0">
      <w:lvlJc w:val="left"/>
      <w:lvlText w:val="(%1)"/>
      <w:numFmt w:val="lowerRoman"/>
      <w:start w:val="1"/>
    </w:lvl>
    <w:lvl w:ilvl="1">
      <w:lvlJc w:val="left"/>
      <w:lvlText w:val="(%2)"/>
      <w:numFmt w:val="upperLetter"/>
      <w:start w:val="1"/>
    </w:lvl>
  </w:abstractNum>
  <w:abstractNum w:abstractNumId="38">
    <w:nsid w:val="6DE91B18"/>
    <w:multiLevelType w:val="hybridMultilevel"/>
    <w:lvl w:ilvl="0">
      <w:lvlJc w:val="left"/>
      <w:lvlText w:val="(%1)"/>
      <w:numFmt w:val="upperLetter"/>
      <w:start w:val="2"/>
    </w:lvl>
  </w:abstractNum>
  <w:abstractNum w:abstractNumId="39">
    <w:nsid w:val="38437FDB"/>
    <w:multiLevelType w:val="hybridMultilevel"/>
    <w:lvl w:ilvl="0">
      <w:lvlJc w:val="left"/>
      <w:lvlText w:val="(%1)"/>
      <w:numFmt w:val="lowerRoman"/>
      <w:start w:val="4"/>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212"/>
    </w:lvl>
  </w:abstractNum>
  <w:abstractNum w:abstractNumId="49">
    <w:nsid w:val="12E685FB"/>
    <w:multiLevelType w:val="hybridMultilevel"/>
    <w:lvl w:ilvl="0">
      <w:lvlJc w:val="left"/>
      <w:lvlText w:val="(%1)"/>
      <w:numFmt w:val="lowerLetter"/>
      <w:start w:val="3"/>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3"/>
    </w:lvl>
  </w:abstractNum>
  <w:abstractNum w:abstractNumId="52">
    <w:nsid w:val="374A3FE6"/>
    <w:multiLevelType w:val="hybridMultilevel"/>
    <w:lvl w:ilvl="0">
      <w:lvlJc w:val="left"/>
      <w:lvlText w:val="%1."/>
      <w:numFmt w:val="decimal"/>
      <w:start w:val="9"/>
    </w:lvl>
  </w:abstractNum>
  <w:abstractNum w:abstractNumId="53">
    <w:nsid w:val="4F4EF005"/>
    <w:multiLevelType w:val="hybridMultilevel"/>
    <w:lvl w:ilvl="0">
      <w:lvlJc w:val="left"/>
      <w:lvlText w:val="%1."/>
      <w:numFmt w:val="decimal"/>
      <w:start w:val="10"/>
    </w:lvl>
  </w:abstractNum>
  <w:abstractNum w:abstractNumId="54">
    <w:nsid w:val="23F9C13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2019-12-14T00:43:16Z</dcterms:created>
  <dcterms:modified xsi:type="dcterms:W3CDTF">2019-12-14T00:43:16Z</dcterms:modified>
</cp:coreProperties>
</file>