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Rizzo Mario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ALLSTATE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 SANDERS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NORTHBROOK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ALLSTATE CORP</w:t>
              </w:r>
            </w:hyperlink>
            <w:r>
              <w:rPr/>
              <w:t xml:space="preserve"> [ </w:t>
            </w:r>
            <w:r>
              <w:rPr>
                <w:rFonts w:ascii="Times;serif" w:hAnsi="Times;serif"/>
                <w:color w:val="0000FF"/>
                <w:sz w:val="24"/>
                <w:shd w:fill="FFFFFF" w:val="clear"/>
              </w:rPr>
              <w:t>ALL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Officer-AIC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56,225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92.46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138,452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43,398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264.1665</w:t>
            </w: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95,054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12,827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265.5505</w:t>
            </w: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82,227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1,683</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92.46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56,225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weighted average sale price for open-market sales transaction reported herein. Actual sale prices ranged from $264.011 to $265.00. The reporting person provided the issuer, and will provide any security holder of The Allstate Corporation or member of the SEC staff, full information regarding the number of shares sold at each separate price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weighted average sale price for open-market sales transaction reported herein. Actual sale prices ranged from $265.02 to $265.83. The reporting person provided the issuer, and will provide any security holder of The Allstate Corporation or member of the SEC staff, full information regarding the number of shares sold at each separate price upon request.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Meghan E. Jauhar, attorney-in-fact for Mario Rizzo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7054" TargetMode="External"/><Relationship Id="rId5" Type="http://schemas.openxmlformats.org/officeDocument/2006/relationships/hyperlink" Target="http://www.sec.gov/cgi-bin/browse-edgar?action=getcompany&amp;CIK=00008990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3947</Characters>
  <CharactersWithSpaces>4569</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